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default" w:ascii="Times New Roman" w:hAnsi="Times New Roman" w:cs="Times New Roman"/>
          <w:b/>
          <w:bCs/>
          <w:sz w:val="20"/>
          <w:szCs w:val="20"/>
          <w:shd w:val="clear" w:color="auto" w:fill="FFFFFF"/>
        </w:rPr>
      </w:pPr>
      <w:bookmarkStart w:id="0" w:name="_GoBack"/>
      <w:bookmarkEnd w:id="0"/>
      <w:r>
        <w:rPr>
          <w:rFonts w:hint="default" w:ascii="Times New Roman" w:hAnsi="Times New Roman" w:cs="Times New Roman"/>
          <w:b/>
          <w:bCs/>
          <w:sz w:val="20"/>
          <w:szCs w:val="20"/>
          <w:shd w:val="clear" w:color="auto" w:fill="FFFFFF"/>
        </w:rPr>
        <w:t xml:space="preserve">Appendix 1: Details of </w:t>
      </w:r>
      <w:r>
        <w:rPr>
          <w:rFonts w:hint="default" w:ascii="Times New Roman" w:hAnsi="Times New Roman" w:cs="Times New Roman"/>
          <w:b/>
          <w:bCs/>
          <w:sz w:val="20"/>
          <w:szCs w:val="20"/>
          <w:shd w:val="clear" w:color="auto" w:fill="FFFFFF"/>
          <w:lang w:val="en-US" w:eastAsia="zh-CN"/>
        </w:rPr>
        <w:t>p</w:t>
      </w:r>
      <w:r>
        <w:rPr>
          <w:rFonts w:hint="default" w:ascii="Times New Roman" w:hAnsi="Times New Roman" w:cs="Times New Roman"/>
          <w:b/>
          <w:bCs/>
          <w:sz w:val="20"/>
          <w:szCs w:val="20"/>
          <w:shd w:val="clear" w:color="auto" w:fill="FFFFFF"/>
        </w:rPr>
        <w:t>articipating centers</w:t>
      </w:r>
    </w:p>
    <w:tbl>
      <w:tblPr>
        <w:tblStyle w:val="2"/>
        <w:tblW w:w="8388"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1"/>
        <w:gridCol w:w="1407"/>
        <w:gridCol w:w="1153"/>
        <w:gridCol w:w="1200"/>
        <w:gridCol w:w="153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2" w:hRule="atLeast"/>
        </w:trPr>
        <w:tc>
          <w:tcPr>
            <w:tcW w:w="3091" w:type="dxa"/>
            <w:tcBorders>
              <w:top w:val="single" w:color="auto" w:sz="4" w:space="0"/>
              <w:bottom w:val="single" w:color="auto" w:sz="4" w:space="0"/>
            </w:tcBorders>
            <w:noWrap w:val="0"/>
            <w:vAlign w:val="center"/>
          </w:tcPr>
          <w:p>
            <w:pPr>
              <w:spacing w:line="360" w:lineRule="auto"/>
              <w:outlineLvl w:val="0"/>
              <w:rPr>
                <w:rFonts w:hint="default" w:ascii="Times New Roman" w:hAnsi="Times New Roman" w:cs="Times New Roman"/>
                <w:sz w:val="20"/>
                <w:szCs w:val="20"/>
              </w:rPr>
            </w:pPr>
            <w:r>
              <w:rPr>
                <w:rFonts w:hint="default" w:ascii="Times New Roman" w:hAnsi="Times New Roman" w:cs="Times New Roman"/>
                <w:b/>
                <w:bCs/>
                <w:color w:val="000000"/>
                <w:sz w:val="20"/>
                <w:szCs w:val="20"/>
                <w:shd w:val="clear" w:color="auto" w:fill="FFFFFF"/>
              </w:rPr>
              <w:t>Name of the hospital</w:t>
            </w:r>
          </w:p>
        </w:tc>
        <w:tc>
          <w:tcPr>
            <w:tcW w:w="1407"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Province, city</w:t>
            </w:r>
          </w:p>
        </w:tc>
        <w:tc>
          <w:tcPr>
            <w:tcW w:w="1153" w:type="dxa"/>
            <w:tcBorders>
              <w:top w:val="single" w:color="auto" w:sz="4" w:space="0"/>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Teaching Hospital</w:t>
            </w:r>
          </w:p>
        </w:tc>
        <w:tc>
          <w:tcPr>
            <w:tcW w:w="1200" w:type="dxa"/>
            <w:tcBorders>
              <w:top w:val="single" w:color="auto" w:sz="4" w:space="0"/>
              <w:bottom w:val="single" w:color="auto" w:sz="4" w:space="0"/>
              <w:right w:val="nil"/>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Beds</w:t>
            </w:r>
          </w:p>
        </w:tc>
        <w:tc>
          <w:tcPr>
            <w:tcW w:w="1537" w:type="dxa"/>
            <w:tcBorders>
              <w:top w:val="single" w:color="auto" w:sz="4" w:space="0"/>
              <w:left w:val="nil"/>
              <w:bottom w:val="single" w:color="auto" w:sz="4" w:space="0"/>
            </w:tcBorders>
            <w:noWrap w:val="0"/>
            <w:vAlign w:val="center"/>
          </w:tcPr>
          <w:p>
            <w:pPr>
              <w:keepNext/>
              <w:keepLines/>
              <w:spacing w:before="240" w:after="64" w:line="360" w:lineRule="auto"/>
              <w:jc w:val="center"/>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
                <w:bCs/>
                <w:color w:val="000000"/>
                <w:sz w:val="20"/>
                <w:szCs w:val="20"/>
                <w:shd w:val="clear" w:color="auto" w:fill="FFFFFF"/>
              </w:rPr>
              <w:t>Staff</w:t>
            </w:r>
            <w:r>
              <w:rPr>
                <w:rFonts w:hint="default" w:ascii="Times New Roman" w:hAnsi="Times New Roman" w:cs="Times New Roman"/>
                <w:b/>
                <w:bCs/>
                <w:color w:val="000000"/>
                <w:sz w:val="20"/>
                <w:szCs w:val="20"/>
                <w:shd w:val="clear" w:color="auto" w:fill="FFFFFF"/>
                <w:lang w:val="en-US" w:eastAsia="zh-CN"/>
              </w:rPr>
              <w:t>s</w:t>
            </w:r>
            <w:r>
              <w:rPr>
                <w:rFonts w:hint="default" w:ascii="Times New Roman" w:hAnsi="Times New Roman" w:cs="Times New Roman"/>
                <w:b/>
                <w:bCs/>
                <w:color w:val="000000"/>
                <w:sz w:val="20"/>
                <w:szCs w:val="20"/>
                <w:shd w:val="clear" w:color="auto" w:fill="FFFFFF"/>
              </w:rPr>
              <w:t xml:space="preserve"> of Clinical Microbioloy Lab</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color w:val="000000"/>
                <w:sz w:val="20"/>
                <w:szCs w:val="20"/>
              </w:rPr>
              <w:t>Beijing Jishuitan Hospital</w:t>
            </w:r>
            <w:r>
              <w:rPr>
                <w:rFonts w:hint="default" w:ascii="Times New Roman" w:hAnsi="Times New Roman" w:cs="Times New Roman"/>
                <w:color w:val="000000"/>
                <w:sz w:val="20"/>
                <w:szCs w:val="20"/>
                <w:lang w:val="en-US" w:eastAsia="zh-CN"/>
              </w:rPr>
              <w:t>,</w:t>
            </w:r>
            <w:r>
              <w:rPr>
                <w:rFonts w:hint="default" w:ascii="Times New Roman" w:hAnsi="Times New Roman" w:cs="Times New Roman"/>
                <w:color w:val="000000"/>
                <w:sz w:val="20"/>
                <w:szCs w:val="20"/>
              </w:rPr>
              <w:t xml:space="preserve"> </w:t>
            </w:r>
          </w:p>
        </w:tc>
        <w:tc>
          <w:tcPr>
            <w:tcW w:w="1407"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single" w:color="auto" w:sz="4" w:space="0"/>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single" w:color="auto" w:sz="4" w:space="0"/>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1500</w:t>
            </w:r>
          </w:p>
        </w:tc>
        <w:tc>
          <w:tcPr>
            <w:tcW w:w="1537" w:type="dxa"/>
            <w:tcBorders>
              <w:top w:val="single" w:color="auto" w:sz="4" w:space="0"/>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 Chao-Yang Hospital</w:t>
            </w:r>
            <w:r>
              <w:rPr>
                <w:rStyle w:val="5"/>
                <w:rFonts w:hint="default" w:ascii="Times New Roman" w:hAnsi="Times New Roman" w:cs="Times New Roman"/>
                <w:color w:val="000000"/>
                <w:sz w:val="20"/>
                <w:szCs w:val="20"/>
              </w:rPr>
              <w:t xml:space="preserve"> </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highlight w:val="yellow"/>
                <w:shd w:val="clear" w:color="auto" w:fill="FFFFFF"/>
              </w:rPr>
            </w:pPr>
            <w:r>
              <w:rPr>
                <w:rFonts w:hint="default" w:ascii="Times New Roman" w:hAnsi="Times New Roman" w:cs="Times New Roman"/>
                <w:bCs/>
                <w:color w:val="000000"/>
                <w:sz w:val="20"/>
                <w:szCs w:val="20"/>
                <w:shd w:val="clear" w:color="auto" w:fill="FFFFFF"/>
              </w:rPr>
              <w:t>1400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11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nil"/>
            </w:tcBorders>
            <w:noWrap w:val="0"/>
            <w:vAlign w:val="center"/>
          </w:tcPr>
          <w:p>
            <w:pPr>
              <w:keepNext w:val="0"/>
              <w:keepLines w:val="0"/>
              <w:pageBreakBefore w:val="0"/>
              <w:widowControl w:val="0"/>
              <w:shd w:val="clear" w:color="000000" w:fill="FFFFFF"/>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color w:val="000000"/>
                <w:sz w:val="20"/>
                <w:szCs w:val="20"/>
                <w:shd w:val="clear" w:color="auto" w:fill="FFFFFF"/>
              </w:rPr>
            </w:pPr>
            <w:r>
              <w:rPr>
                <w:rStyle w:val="5"/>
                <w:rFonts w:hint="default" w:ascii="Times New Roman" w:hAnsi="Times New Roman" w:cs="Times New Roman"/>
                <w:b w:val="0"/>
                <w:color w:val="000000"/>
                <w:sz w:val="20"/>
                <w:szCs w:val="20"/>
              </w:rPr>
              <w:t>the 2nd People’s Hospital of Yunnan Province</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Style w:val="5"/>
                <w:rFonts w:hint="default" w:ascii="Times New Roman" w:hAnsi="Times New Roman" w:cs="Times New Roman"/>
                <w:b w:val="0"/>
                <w:color w:val="000000"/>
                <w:sz w:val="20"/>
                <w:szCs w:val="20"/>
              </w:rPr>
            </w:pPr>
            <w:r>
              <w:rPr>
                <w:rStyle w:val="5"/>
                <w:rFonts w:hint="default" w:ascii="Times New Roman" w:hAnsi="Times New Roman" w:cs="Times New Roman"/>
                <w:b w:val="0"/>
                <w:color w:val="000000"/>
                <w:sz w:val="20"/>
                <w:szCs w:val="20"/>
              </w:rPr>
              <w:t>Kunming,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Style w:val="5"/>
                <w:rFonts w:hint="default" w:ascii="Times New Roman" w:hAnsi="Times New Roman" w:cs="Times New Roman"/>
                <w:b w:val="0"/>
                <w:color w:val="000000"/>
                <w:sz w:val="20"/>
                <w:szCs w:val="20"/>
              </w:rPr>
              <w:t>Yan</w:t>
            </w:r>
            <w:r>
              <w:rPr>
                <w:rStyle w:val="5"/>
                <w:rFonts w:hint="default" w:ascii="Times New Roman" w:hAnsi="Times New Roman" w:cs="Times New Roman"/>
                <w:b w:val="0"/>
                <w:bCs w:val="0"/>
                <w:color w:val="000000"/>
                <w:sz w:val="20"/>
                <w:szCs w:val="20"/>
              </w:rPr>
              <w:t>’</w:t>
            </w:r>
            <w:r>
              <w:rPr>
                <w:rStyle w:val="5"/>
                <w:rFonts w:hint="default" w:ascii="Times New Roman" w:hAnsi="Times New Roman" w:cs="Times New Roman"/>
                <w:b w:val="0"/>
                <w:color w:val="000000"/>
                <w:sz w:val="20"/>
                <w:szCs w:val="20"/>
              </w:rPr>
              <w:t>an</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1302</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3091"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5" w:line="360" w:lineRule="auto"/>
              <w:jc w:val="left"/>
              <w:textAlignment w:val="auto"/>
              <w:rPr>
                <w:rFonts w:hint="default" w:ascii="Times New Roman" w:hAnsi="Times New Roman" w:cs="Times New Roman"/>
                <w:bCs/>
                <w:color w:val="000000"/>
                <w:sz w:val="20"/>
                <w:szCs w:val="20"/>
              </w:rPr>
            </w:pPr>
            <w:r>
              <w:rPr>
                <w:rStyle w:val="5"/>
                <w:rFonts w:hint="default" w:ascii="Times New Roman" w:hAnsi="Times New Roman" w:cs="Times New Roman"/>
                <w:b w:val="0"/>
                <w:color w:val="000000"/>
                <w:sz w:val="20"/>
                <w:szCs w:val="20"/>
              </w:rPr>
              <w:t>Qingdao Municipal Hospital</w:t>
            </w:r>
          </w:p>
        </w:tc>
        <w:tc>
          <w:tcPr>
            <w:tcW w:w="1407"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ShanDong,</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Qingdao</w:t>
            </w:r>
          </w:p>
        </w:tc>
        <w:tc>
          <w:tcPr>
            <w:tcW w:w="1153" w:type="dxa"/>
            <w:tcBorders>
              <w:top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1200</w:t>
            </w:r>
          </w:p>
        </w:tc>
        <w:tc>
          <w:tcPr>
            <w:tcW w:w="1537" w:type="dxa"/>
            <w:tcBorders>
              <w:top w:val="nil"/>
              <w:left w:val="nil"/>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091"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0"/>
              <w:rPr>
                <w:rFonts w:hint="default" w:ascii="Times New Roman" w:hAnsi="Times New Roman" w:cs="Times New Roman"/>
                <w:sz w:val="20"/>
                <w:szCs w:val="20"/>
              </w:rPr>
            </w:pPr>
            <w:r>
              <w:rPr>
                <w:rFonts w:hint="default" w:ascii="Times New Roman" w:hAnsi="Times New Roman" w:cs="Times New Roman"/>
                <w:color w:val="000000"/>
                <w:sz w:val="20"/>
                <w:szCs w:val="20"/>
                <w:lang w:val="en-US" w:eastAsia="zh-CN"/>
              </w:rPr>
              <w:t>Beijing Huimin</w:t>
            </w:r>
            <w:r>
              <w:rPr>
                <w:rFonts w:hint="default" w:ascii="Times New Roman" w:hAnsi="Times New Roman" w:cs="Times New Roman"/>
                <w:color w:val="000000"/>
                <w:sz w:val="20"/>
                <w:szCs w:val="20"/>
              </w:rPr>
              <w:t xml:space="preserve"> Hospital</w:t>
            </w:r>
          </w:p>
        </w:tc>
        <w:tc>
          <w:tcPr>
            <w:tcW w:w="1407"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color w:val="000000"/>
                <w:sz w:val="20"/>
                <w:szCs w:val="20"/>
                <w:shd w:val="clear" w:color="auto" w:fill="FFFFFF"/>
              </w:rPr>
            </w:pPr>
            <w:r>
              <w:rPr>
                <w:rFonts w:hint="default" w:ascii="Times New Roman" w:hAnsi="Times New Roman" w:cs="Times New Roman"/>
                <w:color w:val="000000"/>
                <w:sz w:val="20"/>
                <w:szCs w:val="20"/>
                <w:shd w:val="clear" w:color="auto" w:fill="FFFFFF"/>
              </w:rPr>
              <w:t>Beijing</w:t>
            </w:r>
          </w:p>
        </w:tc>
        <w:tc>
          <w:tcPr>
            <w:tcW w:w="1153" w:type="dxa"/>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bCs/>
                <w:color w:val="000000"/>
                <w:sz w:val="20"/>
                <w:szCs w:val="20"/>
                <w:shd w:val="clear" w:color="auto" w:fill="FFFFFF"/>
              </w:rPr>
              <w:t>Yes</w:t>
            </w:r>
          </w:p>
        </w:tc>
        <w:tc>
          <w:tcPr>
            <w:tcW w:w="1200" w:type="dxa"/>
            <w:tcBorders>
              <w:top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rPr>
              <w:t>1</w:t>
            </w:r>
            <w:r>
              <w:rPr>
                <w:rFonts w:hint="default" w:ascii="Times New Roman" w:hAnsi="Times New Roman" w:cs="Times New Roman"/>
                <w:bCs/>
                <w:color w:val="000000"/>
                <w:sz w:val="20"/>
                <w:szCs w:val="20"/>
                <w:shd w:val="clear" w:color="auto" w:fill="FFFFFF"/>
                <w:lang w:val="en-US" w:eastAsia="zh-CN"/>
              </w:rPr>
              <w:t>000</w:t>
            </w:r>
          </w:p>
        </w:tc>
        <w:tc>
          <w:tcPr>
            <w:tcW w:w="1537" w:type="dxa"/>
            <w:tcBorders>
              <w:top w:val="nil"/>
              <w:left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default" w:ascii="Times New Roman" w:hAnsi="Times New Roman" w:cs="Times New Roman" w:eastAsiaTheme="minorEastAsia"/>
                <w:bCs/>
                <w:color w:val="000000"/>
                <w:sz w:val="20"/>
                <w:szCs w:val="20"/>
                <w:shd w:val="clear" w:color="auto" w:fill="FFFFFF"/>
                <w:lang w:val="en-US" w:eastAsia="zh-CN"/>
              </w:rPr>
            </w:pPr>
            <w:r>
              <w:rPr>
                <w:rFonts w:hint="default" w:ascii="Times New Roman" w:hAnsi="Times New Roman" w:cs="Times New Roman"/>
                <w:bCs/>
                <w:color w:val="000000"/>
                <w:sz w:val="20"/>
                <w:szCs w:val="20"/>
                <w:shd w:val="clear" w:color="auto" w:fill="FFFFFF"/>
                <w:lang w:val="en-US" w:eastAsia="zh-CN"/>
              </w:rPr>
              <w:t>2</w:t>
            </w:r>
          </w:p>
        </w:tc>
      </w:tr>
    </w:tbl>
    <w:p>
      <w:pPr>
        <w:rPr>
          <w:rFonts w:hint="default" w:ascii="Times New Roman" w:hAnsi="Times New Roman" w:cs="Times New Roman"/>
          <w:sz w:val="20"/>
          <w:szCs w:val="20"/>
        </w:rPr>
      </w:pPr>
    </w:p>
    <w:p>
      <w:pPr>
        <w:rPr>
          <w:rFonts w:hint="default" w:ascii="Times New Roman" w:hAnsi="Times New Roman" w:cs="Times New Roman"/>
          <w:sz w:val="20"/>
          <w:szCs w:val="20"/>
        </w:rPr>
      </w:pPr>
    </w:p>
    <w:p>
      <w:pPr>
        <w:rPr>
          <w:rFonts w:hint="default" w:ascii="Times New Roman" w:hAnsi="Times New Roman" w:cs="Times New Roman"/>
          <w:sz w:val="20"/>
          <w:szCs w:val="20"/>
          <w:lang w:val="en-US" w:eastAsia="zh-CN"/>
        </w:rPr>
      </w:pPr>
      <w:r>
        <w:rPr>
          <w:rFonts w:hint="default" w:ascii="Times New Roman" w:hAnsi="Times New Roman" w:cs="Times New Roman"/>
          <w:b/>
          <w:bCs/>
          <w:sz w:val="20"/>
          <w:szCs w:val="20"/>
          <w:lang w:val="en-US" w:eastAsia="zh-CN"/>
        </w:rPr>
        <w:t xml:space="preserve">Appendix 2 </w:t>
      </w:r>
      <w:r>
        <w:rPr>
          <w:rFonts w:hint="default" w:ascii="Times New Roman" w:hAnsi="Times New Roman" w:cs="Times New Roman"/>
          <w:b/>
          <w:bCs/>
          <w:color w:val="000000"/>
          <w:sz w:val="20"/>
          <w:szCs w:val="20"/>
          <w:shd w:val="clear" w:color="auto" w:fill="FFFFFF"/>
        </w:rPr>
        <w:t>Definition of underlying diseases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Smoking </w:t>
      </w:r>
      <w:r>
        <w:rPr>
          <w:rFonts w:hint="default" w:ascii="Times New Roman" w:hAnsi="Times New Roman" w:eastAsia="TimesNewRomanPSMT" w:cs="Times New Roman"/>
          <w:color w:val="000000"/>
          <w:kern w:val="0"/>
          <w:sz w:val="20"/>
          <w:szCs w:val="20"/>
          <w:lang w:val="en-US" w:eastAsia="zh-CN" w:bidi="ar"/>
        </w:rPr>
        <w:t xml:space="preserve">was defined as </w:t>
      </w:r>
      <w:r>
        <w:rPr>
          <w:rFonts w:hint="default" w:ascii="Times New Roman" w:hAnsi="Times New Roman" w:cs="Times New Roman"/>
          <w:sz w:val="20"/>
          <w:szCs w:val="20"/>
          <w:lang w:val="en-US" w:eastAsia="zh-CN"/>
        </w:rPr>
        <w:t>cigarette smokers of 10 cigarettes/d during at least the previous year；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Hypertension was defined as systolic blood pressure≥140mmHg and /or diastolic blood pressure ≥ 90mmHg in resting status;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Chronic pulmonary disease was defined as: persistent airflow limitation, FEV</w:t>
      </w:r>
      <w:r>
        <w:rPr>
          <w:rFonts w:hint="default" w:ascii="Times New Roman" w:hAnsi="Times New Roman" w:cs="Times New Roman"/>
          <w:sz w:val="20"/>
          <w:szCs w:val="20"/>
          <w:vertAlign w:val="subscript"/>
          <w:lang w:val="en-US" w:eastAsia="zh-CN"/>
        </w:rPr>
        <w:t>1</w:t>
      </w:r>
      <w:r>
        <w:rPr>
          <w:rFonts w:hint="default" w:ascii="Times New Roman" w:hAnsi="Times New Roman" w:cs="Times New Roman"/>
          <w:sz w:val="20"/>
          <w:szCs w:val="20"/>
          <w:lang w:val="en-US" w:eastAsia="zh-CN"/>
        </w:rPr>
        <w:t xml:space="preserve"> / FVC &lt; 70% post bronchodilator;</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Asthma was defined by the history of respiratory symptoms such as wheeze, cough that varied over time and intensity, together with variable respiratory airway limitation;</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Cardiovascular disease included coronary heart disease and chronic congestive heart failure;</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Coronary heart disease included angina pectoris, myocardial infarction, ischemic cardiomyopathy;</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Chronic congestive heart failure was defined as cardiomegaly and ejection fraction ≤ 40%;</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Cerebrovascular diseases included transient ischemic attack, cerebral hemorrhage, subarachnoid hemorrhage, cerebral infarction;</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Diabetes mellitus: included diabetes mellitus type 1 and diabetes mellitus type 2, not included impaired glucose tolerance and impaired fasting glycaemia;</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color w:val="000000"/>
          <w:sz w:val="20"/>
          <w:szCs w:val="20"/>
        </w:rPr>
      </w:pPr>
      <w:r>
        <w:rPr>
          <w:rFonts w:hint="default" w:ascii="Times New Roman" w:hAnsi="Times New Roman" w:cs="Times New Roman"/>
          <w:color w:val="000000"/>
          <w:sz w:val="20"/>
          <w:szCs w:val="20"/>
        </w:rPr>
        <w:t>Chronic kidney disease included diabetic nephropathy, hypertensive renal damage, chronic glomerulonephritis, chronic pyelonephritis, lupus nephritis, IgA nephropathy, nephrotic syndrome, hereditary kidney disease, etc;</w:t>
      </w:r>
    </w:p>
    <w:p>
      <w:pPr>
        <w:keepNext w:val="0"/>
        <w:keepLines w:val="0"/>
        <w:pageBreakBefore w:val="0"/>
        <w:widowControl/>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cs="Times New Roman"/>
          <w:bCs/>
          <w:color w:val="000000"/>
          <w:sz w:val="20"/>
          <w:szCs w:val="20"/>
          <w:shd w:val="clear" w:color="auto" w:fill="FFFFFF"/>
        </w:rPr>
      </w:pPr>
      <w:r>
        <w:rPr>
          <w:rFonts w:hint="default" w:ascii="Times New Roman" w:hAnsi="Times New Roman" w:cs="Times New Roman"/>
          <w:color w:val="000000"/>
          <w:sz w:val="20"/>
          <w:szCs w:val="20"/>
        </w:rPr>
        <w:t>Immunosuppressive therapy: was defined as systm</w:t>
      </w:r>
      <w:r>
        <w:rPr>
          <w:rFonts w:hint="default" w:ascii="Times New Roman" w:hAnsi="Times New Roman" w:cs="Times New Roman"/>
          <w:color w:val="000000"/>
          <w:sz w:val="20"/>
          <w:szCs w:val="20"/>
          <w:lang w:val="en-US" w:eastAsia="zh-CN"/>
        </w:rPr>
        <w:t>e</w:t>
      </w:r>
      <w:r>
        <w:rPr>
          <w:rFonts w:hint="default" w:ascii="Times New Roman" w:hAnsi="Times New Roman" w:cs="Times New Roman"/>
          <w:color w:val="000000"/>
          <w:sz w:val="20"/>
          <w:szCs w:val="20"/>
        </w:rPr>
        <w:t xml:space="preserve">tic glucocorticosteroid (such as prednisone </w:t>
      </w:r>
      <w:r>
        <w:rPr>
          <w:rFonts w:hint="default" w:ascii="Times New Roman" w:hAnsi="Times New Roman" w:cs="Times New Roman"/>
          <w:bCs/>
          <w:color w:val="000000"/>
          <w:sz w:val="20"/>
          <w:szCs w:val="20"/>
          <w:shd w:val="clear" w:color="auto" w:fill="FFFFFF"/>
        </w:rPr>
        <w:t>≥</w:t>
      </w:r>
      <w:r>
        <w:rPr>
          <w:rFonts w:hint="default" w:ascii="Times New Roman" w:hAnsi="Times New Roman" w:cs="Times New Roman"/>
          <w:bCs/>
          <w:color w:val="000000"/>
          <w:sz w:val="20"/>
          <w:szCs w:val="20"/>
          <w:shd w:val="clear" w:color="auto" w:fill="FFFFFF"/>
          <w:lang w:val="en-US" w:eastAsia="zh-CN"/>
        </w:rPr>
        <w:t xml:space="preserve"> </w:t>
      </w:r>
      <w:r>
        <w:rPr>
          <w:rFonts w:hint="default" w:ascii="Times New Roman" w:hAnsi="Times New Roman" w:cs="Times New Roman"/>
          <w:bCs/>
          <w:color w:val="000000"/>
          <w:sz w:val="20"/>
          <w:szCs w:val="20"/>
          <w:shd w:val="clear" w:color="auto" w:fill="FFFFFF"/>
        </w:rPr>
        <w:t>10mg/d for more than 3 weeks in the last month); cyclosporine or azathioprine use within 3 months, and methotrexate use ≥</w:t>
      </w:r>
      <w:r>
        <w:rPr>
          <w:rFonts w:hint="default" w:ascii="Times New Roman" w:hAnsi="Times New Roman" w:cs="Times New Roman"/>
          <w:bCs/>
          <w:color w:val="000000"/>
          <w:sz w:val="20"/>
          <w:szCs w:val="20"/>
          <w:shd w:val="clear" w:color="auto" w:fill="FFFFFF"/>
          <w:lang w:val="en-US" w:eastAsia="zh-CN"/>
        </w:rPr>
        <w:t xml:space="preserve"> </w:t>
      </w:r>
      <w:r>
        <w:rPr>
          <w:rFonts w:hint="default" w:ascii="Times New Roman" w:hAnsi="Times New Roman" w:cs="Times New Roman"/>
          <w:bCs/>
          <w:color w:val="000000"/>
          <w:sz w:val="20"/>
          <w:szCs w:val="20"/>
          <w:shd w:val="clear" w:color="auto" w:fill="FFFFFF"/>
        </w:rPr>
        <w:t>12.5mg/week within 3 months; biological modifiers such as etanercept and infiximab within 3 weeks.</w:t>
      </w:r>
    </w:p>
    <w:p>
      <w:pPr>
        <w:keepNext w:val="0"/>
        <w:keepLines w:val="0"/>
        <w:pageBreakBefore w:val="0"/>
        <w:numPr>
          <w:ilvl w:val="0"/>
          <w:numId w:val="1"/>
        </w:numPr>
        <w:kinsoku/>
        <w:wordWrap/>
        <w:overflowPunct/>
        <w:topLinePunct w:val="0"/>
        <w:autoSpaceDE/>
        <w:autoSpaceDN/>
        <w:bidi w:val="0"/>
        <w:adjustRightInd/>
        <w:snapToGrid/>
        <w:spacing w:line="360" w:lineRule="auto"/>
        <w:ind w:left="425" w:leftChars="0" w:hanging="425" w:firstLine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color w:val="000000"/>
          <w:sz w:val="20"/>
          <w:szCs w:val="20"/>
        </w:rPr>
        <w:t>Immunocompromised status included HIV(+</w:t>
      </w:r>
      <w:r>
        <w:rPr>
          <w:rFonts w:hint="default" w:ascii="Times New Roman" w:hAnsi="Times New Roman" w:cs="Times New Roman"/>
          <w:color w:val="000000"/>
          <w:sz w:val="20"/>
          <w:szCs w:val="20"/>
          <w:lang w:val="en-US" w:eastAsia="zh-CN"/>
        </w:rPr>
        <w:t>)</w:t>
      </w:r>
      <w:r>
        <w:rPr>
          <w:rFonts w:hint="default" w:ascii="Times New Roman" w:hAnsi="Times New Roman" w:cs="Times New Roman"/>
          <w:color w:val="000000"/>
          <w:sz w:val="20"/>
          <w:szCs w:val="20"/>
        </w:rPr>
        <w:t>，chemotherapy/radiotherapy within 6 months, immunosuppressive therapy, organ/bone marrow transplantation, splenectomy, hematological neoplasms</w:t>
      </w:r>
      <w:r>
        <w:rPr>
          <w:rFonts w:hint="default" w:ascii="Times New Roman" w:hAnsi="Times New Roman" w:cs="Times New Roman"/>
          <w:color w:val="000000"/>
          <w:sz w:val="20"/>
          <w:szCs w:val="20"/>
          <w:lang w:val="en-US" w:eastAsia="zh-CN"/>
        </w:rPr>
        <w:t>.</w:t>
      </w:r>
    </w:p>
    <w:p>
      <w:pPr>
        <w:spacing w:line="360" w:lineRule="auto"/>
        <w:rPr>
          <w:rFonts w:hint="default" w:ascii="Times New Roman" w:hAnsi="Times New Roman" w:cs="Times New Roman"/>
          <w:b/>
          <w:bCs/>
          <w:sz w:val="20"/>
          <w:szCs w:val="20"/>
          <w:lang w:val="en-US" w:eastAsia="zh-CN"/>
        </w:rPr>
      </w:pPr>
    </w:p>
    <w:p>
      <w:pPr>
        <w:spacing w:line="360" w:lineRule="auto"/>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 xml:space="preserve">Appendix 3 </w:t>
      </w:r>
      <w:r>
        <w:rPr>
          <w:rFonts w:hint="default" w:ascii="Times New Roman" w:hAnsi="Times New Roman" w:eastAsia="华文琥珀" w:cs="Times New Roman"/>
          <w:b/>
          <w:bCs/>
          <w:color w:val="000000"/>
          <w:sz w:val="20"/>
          <w:szCs w:val="20"/>
        </w:rPr>
        <w:t xml:space="preserve">Definition of </w:t>
      </w:r>
      <w:r>
        <w:rPr>
          <w:rFonts w:hint="default" w:ascii="Times New Roman" w:hAnsi="Times New Roman" w:cs="Times New Roman"/>
          <w:b/>
          <w:bCs/>
          <w:color w:val="000000"/>
          <w:sz w:val="20"/>
          <w:szCs w:val="20"/>
        </w:rPr>
        <w:t xml:space="preserve">microbiological criteria of </w:t>
      </w:r>
      <w:r>
        <w:rPr>
          <w:rFonts w:hint="default" w:ascii="Times New Roman" w:hAnsi="Times New Roman" w:cs="Times New Roman"/>
          <w:b/>
          <w:bCs/>
          <w:sz w:val="20"/>
          <w:szCs w:val="20"/>
          <w:vertAlign w:val="baseline"/>
          <w:lang w:val="en-US" w:eastAsia="zh-CN"/>
        </w:rPr>
        <w:t>coinfected with other pathogens</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urinary antigen for </w:t>
      </w:r>
      <w:r>
        <w:rPr>
          <w:rFonts w:hint="default" w:ascii="Times New Roman" w:hAnsi="Times New Roman" w:eastAsia="华文琥珀" w:cs="Times New Roman"/>
          <w:bCs/>
          <w:i/>
          <w:color w:val="000000"/>
          <w:sz w:val="20"/>
          <w:szCs w:val="20"/>
        </w:rPr>
        <w:t>Legionella pneumophila</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urinary antigen for </w:t>
      </w:r>
      <w:r>
        <w:rPr>
          <w:rFonts w:hint="default" w:ascii="Times New Roman" w:hAnsi="Times New Roman" w:eastAsia="华文琥珀" w:cs="Times New Roman"/>
          <w:bCs/>
          <w:i/>
          <w:color w:val="000000"/>
          <w:sz w:val="20"/>
          <w:szCs w:val="20"/>
        </w:rPr>
        <w:t>Streptococcus pneumoniae</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Positive bacterial culture from blood or plural fluid except for coagulase negative </w:t>
      </w:r>
      <w:r>
        <w:rPr>
          <w:rFonts w:hint="default" w:ascii="Times New Roman" w:hAnsi="Times New Roman" w:eastAsia="华文琥珀" w:cs="Times New Roman"/>
          <w:bCs/>
          <w:i/>
          <w:color w:val="000000"/>
          <w:sz w:val="20"/>
          <w:szCs w:val="20"/>
        </w:rPr>
        <w:t>Staphylococcus spp</w:t>
      </w:r>
      <w:r>
        <w:rPr>
          <w:rFonts w:hint="default" w:ascii="Times New Roman" w:hAnsi="Times New Roman" w:eastAsia="华文琥珀" w:cs="Times New Roman"/>
          <w:bCs/>
          <w:color w:val="000000"/>
          <w:sz w:val="20"/>
          <w:szCs w:val="20"/>
        </w:rPr>
        <w:t>.</w:t>
      </w:r>
      <w:r>
        <w:rPr>
          <w:rFonts w:hint="default" w:ascii="Times New Roman" w:hAnsi="Times New Roman" w:eastAsia="华文琥珀" w:cs="Times New Roman"/>
          <w:b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Paired sera with a fourfold or more increase in the titers of antibodies to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color w:val="000000"/>
          <w:sz w:val="20"/>
          <w:szCs w:val="20"/>
        </w:rPr>
        <w:t xml:space="preserve">, </w:t>
      </w:r>
      <w:r>
        <w:rPr>
          <w:rFonts w:hint="default" w:ascii="Times New Roman" w:hAnsi="Times New Roman" w:eastAsia="华文琥珀" w:cs="Times New Roman"/>
          <w:bCs/>
          <w:i/>
          <w:color w:val="000000"/>
          <w:sz w:val="20"/>
          <w:szCs w:val="20"/>
        </w:rPr>
        <w:t xml:space="preserve">L pneumophila or </w:t>
      </w:r>
      <w:r>
        <w:rPr>
          <w:rFonts w:hint="default" w:ascii="Times New Roman" w:hAnsi="Times New Roman" w:eastAsia="华文琥珀" w:cs="Times New Roman"/>
          <w:bCs/>
          <w:color w:val="000000"/>
          <w:sz w:val="20"/>
          <w:szCs w:val="20"/>
        </w:rPr>
        <w:t>respiratory viruses (</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bCs/>
          <w:color w:val="000000"/>
          <w:sz w:val="20"/>
          <w:szCs w:val="20"/>
        </w:rPr>
        <w:t>Parainfluenza, Adenovirus,</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color w:val="000000"/>
          <w:sz w:val="20"/>
          <w:szCs w:val="20"/>
        </w:rPr>
        <w:t>Respiratory syncytial virus)</w:t>
      </w:r>
      <w:r>
        <w:rPr>
          <w:rFonts w:hint="default" w:ascii="Times New Roman" w:hAnsi="Times New Roman" w:eastAsia="华文琥珀" w:cs="Times New Roman"/>
          <w:bCs/>
          <w:i/>
          <w:color w:val="000000"/>
          <w:sz w:val="20"/>
          <w:szCs w:val="20"/>
        </w:rPr>
        <w:t xml:space="preserve">. </w:t>
      </w:r>
      <w:r>
        <w:rPr>
          <w:rFonts w:hint="default" w:ascii="Times New Roman" w:hAnsi="Times New Roman" w:eastAsia="华文琥珀" w:cs="Times New Roman"/>
          <w:bCs/>
          <w:color w:val="000000"/>
          <w:sz w:val="20"/>
          <w:szCs w:val="20"/>
        </w:rPr>
        <w:t xml:space="preserve">Or Serum IgM antibody (MIF) </w:t>
      </w:r>
      <w:r>
        <w:rPr>
          <w:rFonts w:hint="default" w:ascii="Times New Roman" w:hAnsi="Times New Roman" w:eastAsia="华文琥珀" w:cs="Times New Roman"/>
          <w:bCs/>
          <w:color w:val="000000"/>
          <w:sz w:val="20"/>
          <w:szCs w:val="20"/>
        </w:rPr>
        <w:sym w:font="Symbol" w:char="F0B3"/>
      </w:r>
      <w:r>
        <w:rPr>
          <w:rFonts w:hint="default" w:ascii="Times New Roman" w:hAnsi="Times New Roman" w:eastAsia="华文琥珀" w:cs="Times New Roman"/>
          <w:bCs/>
          <w:color w:val="000000"/>
          <w:sz w:val="20"/>
          <w:szCs w:val="20"/>
        </w:rPr>
        <w:t xml:space="preserve"> 1:16 for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i w:val="0"/>
          <w:iCs/>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Detection of respiratory virus in sputum/bronchoalveolar lavage (BALF)/throat swabs by Realtime-PCR according to manufacturer’s instructions, including respiratory syncytial virus (RSV) types A and B, parainfluenza virus (PIV) types 1, 2, 3 and 4, rhinovirus (HRV), enterovirus (EV), coronavirus (hCoV) types 229E, NL63, OC43 and HKU1, parapneumovirus (hMPV), and adenovirus (AdV), bocavirus;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Bacteria isolated form purulent sputum (defined as an adequate quality sputum sample with &gt; 25 leukocytes and &lt; 10 epithelial cells per × 100 magnification field) with compatible findings of Gram staining;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rPr>
        <w:t xml:space="preserve">Detection of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color w:val="000000"/>
          <w:sz w:val="20"/>
          <w:szCs w:val="20"/>
        </w:rPr>
        <w:t xml:space="preserve"> or </w:t>
      </w:r>
      <w:r>
        <w:rPr>
          <w:rFonts w:hint="default" w:ascii="Times New Roman" w:hAnsi="Times New Roman" w:eastAsia="华文琥珀" w:cs="Times New Roman"/>
          <w:bCs/>
          <w:i/>
          <w:color w:val="000000"/>
          <w:sz w:val="20"/>
          <w:szCs w:val="20"/>
        </w:rPr>
        <w:t>L pneumophila</w:t>
      </w:r>
      <w:r>
        <w:rPr>
          <w:rFonts w:hint="default" w:ascii="Times New Roman" w:hAnsi="Times New Roman" w:eastAsia="华文琥珀" w:cs="Times New Roman"/>
          <w:bCs/>
          <w:color w:val="000000"/>
          <w:sz w:val="20"/>
          <w:szCs w:val="20"/>
        </w:rPr>
        <w:t xml:space="preserve"> in sputum/BALF/throat swabs by Realtime-PCR</w:t>
      </w:r>
      <w:r>
        <w:rPr>
          <w:rFonts w:hint="default" w:ascii="Times New Roman" w:hAnsi="Times New Roman" w:eastAsia="华文琥珀" w:cs="Times New Roman"/>
          <w:bCs/>
          <w:color w:val="000000"/>
          <w:sz w:val="20"/>
          <w:szCs w:val="20"/>
          <w:lang w:val="en-US" w:eastAsia="zh-CN"/>
        </w:rPr>
        <w:t>;</w:t>
      </w:r>
      <w:r>
        <w:rPr>
          <w:rFonts w:hint="default" w:ascii="Times New Roman" w:hAnsi="Times New Roman" w:eastAsia="华文琥珀" w:cs="Times New Roman"/>
          <w:bCs/>
          <w:color w:val="000000"/>
          <w:sz w:val="20"/>
          <w:szCs w:val="20"/>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bCs/>
          <w:color w:val="000000"/>
          <w:sz w:val="20"/>
          <w:szCs w:val="20"/>
          <w:lang w:val="en-US" w:eastAsia="zh-CN"/>
        </w:rPr>
        <w:t>s</w:t>
      </w:r>
      <w:r>
        <w:rPr>
          <w:rFonts w:hint="default" w:ascii="Times New Roman" w:hAnsi="Times New Roman" w:eastAsia="华文琥珀" w:cs="Times New Roman"/>
          <w:bCs/>
          <w:color w:val="000000"/>
          <w:sz w:val="20"/>
          <w:szCs w:val="20"/>
        </w:rPr>
        <w:t xml:space="preserve">erum IgM antibody positive for </w:t>
      </w:r>
      <w:r>
        <w:rPr>
          <w:rFonts w:hint="default" w:ascii="Times New Roman" w:hAnsi="Times New Roman" w:eastAsia="华文琥珀" w:cs="Times New Roman"/>
          <w:bCs/>
          <w:i/>
          <w:color w:val="000000"/>
          <w:sz w:val="20"/>
          <w:szCs w:val="20"/>
        </w:rPr>
        <w:t>Mycoplasma pneumoniae</w:t>
      </w:r>
      <w:r>
        <w:rPr>
          <w:rFonts w:hint="default" w:ascii="Times New Roman" w:hAnsi="Times New Roman" w:eastAsia="华文琥珀" w:cs="Times New Roman"/>
          <w:bCs/>
          <w:color w:val="000000"/>
          <w:sz w:val="20"/>
          <w:szCs w:val="20"/>
        </w:rPr>
        <w:t xml:space="preserve"> (MP), or Serum IgG antibody (MIF) </w:t>
      </w:r>
      <w:r>
        <w:rPr>
          <w:rFonts w:hint="default" w:ascii="Times New Roman" w:hAnsi="Times New Roman" w:eastAsia="华文琥珀" w:cs="Times New Roman"/>
          <w:bCs/>
          <w:color w:val="000000"/>
          <w:sz w:val="20"/>
          <w:szCs w:val="20"/>
        </w:rPr>
        <w:sym w:font="Symbol" w:char="F0B3"/>
      </w:r>
      <w:r>
        <w:rPr>
          <w:rFonts w:hint="default" w:ascii="Times New Roman" w:hAnsi="Times New Roman" w:eastAsia="华文琥珀" w:cs="Times New Roman"/>
          <w:bCs/>
          <w:color w:val="000000"/>
          <w:sz w:val="20"/>
          <w:szCs w:val="20"/>
        </w:rPr>
        <w:t xml:space="preserve"> 1:512 for </w:t>
      </w:r>
      <w:r>
        <w:rPr>
          <w:rFonts w:hint="default" w:ascii="Times New Roman" w:hAnsi="Times New Roman" w:eastAsia="华文琥珀" w:cs="Times New Roman"/>
          <w:bCs/>
          <w:i/>
          <w:color w:val="000000"/>
          <w:sz w:val="20"/>
          <w:szCs w:val="20"/>
        </w:rPr>
        <w:t>Chlamydia pneumonia</w:t>
      </w:r>
      <w:r>
        <w:rPr>
          <w:rFonts w:hint="default" w:ascii="Times New Roman" w:hAnsi="Times New Roman" w:eastAsia="华文琥珀" w:cs="Times New Roman"/>
          <w:bCs/>
          <w:i/>
          <w:color w:val="000000"/>
          <w:sz w:val="20"/>
          <w:szCs w:val="20"/>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425" w:leftChars="0" w:hanging="425" w:firstLine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color w:val="000000"/>
          <w:sz w:val="20"/>
          <w:szCs w:val="20"/>
        </w:rPr>
        <w:t>Invasive pulmonary aspergillosis were diagnosed in accordance with the revised definitions of invasive fungal diseases from the European Organization for Research and Treatment of Cancer and the Mycoses Study Group Education and Research Consortium</w:t>
      </w:r>
      <w:r>
        <w:rPr>
          <w:rFonts w:hint="default" w:ascii="Times New Roman" w:hAnsi="Times New Roman" w:eastAsia="华文琥珀" w:cs="Times New Roman"/>
          <w:color w:val="000000"/>
          <w:sz w:val="20"/>
          <w:szCs w:val="20"/>
          <w:lang w:val="en-US" w:eastAsia="zh-CN"/>
        </w:rPr>
        <w:t xml:space="preserve"> [1].</w:t>
      </w:r>
      <w:r>
        <w:rPr>
          <w:rFonts w:hint="default" w:ascii="Times New Roman" w:hAnsi="Times New Roman" w:eastAsia="华文琥珀" w:cs="Times New Roman"/>
          <w:color w:val="000000"/>
          <w:sz w:val="20"/>
          <w:szCs w:val="20"/>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lang w:val="en-US" w:eastAsia="zh-CN"/>
        </w:rPr>
      </w:pPr>
      <w:r>
        <w:rPr>
          <w:rFonts w:hint="default" w:ascii="Times New Roman" w:hAnsi="Times New Roman" w:eastAsia="华文琥珀" w:cs="Times New Roman"/>
          <w:color w:val="000000"/>
          <w:sz w:val="20"/>
          <w:szCs w:val="20"/>
          <w:lang w:val="en-US" w:eastAsia="zh-CN"/>
        </w:rPr>
        <w:t>References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outlineLvl w:val="0"/>
        <w:rPr>
          <w:rFonts w:hint="default" w:ascii="Times New Roman" w:hAnsi="Times New Roman" w:eastAsia="华文琥珀" w:cs="Times New Roman"/>
          <w:color w:val="000000"/>
          <w:sz w:val="20"/>
          <w:szCs w:val="20"/>
        </w:rPr>
      </w:pPr>
      <w:r>
        <w:rPr>
          <w:rFonts w:hint="default" w:ascii="Times New Roman" w:hAnsi="Times New Roman" w:eastAsia="华文琥珀" w:cs="Times New Roman"/>
          <w:color w:val="000000"/>
          <w:sz w:val="20"/>
          <w:szCs w:val="20"/>
          <w:lang w:val="en-US" w:eastAsia="zh-CN"/>
        </w:rPr>
        <w:t xml:space="preserve">1.Donnelly JP, Chen SC, Kauffman CA, et al. Revision and Update of the Consensus Definitions of Invasive Fungal Disease From the European Organization for Research and Treatment of Cancer and the Mycoses Study Group Education and Research Consortium. Clin Infect Dis. 2019, pii: ciz1008. </w:t>
      </w:r>
    </w:p>
    <w:p>
      <w:pPr>
        <w:rPr>
          <w:rFonts w:hint="default" w:ascii="Times New Roman" w:hAnsi="Times New Roman" w:cs="Times New Roman"/>
          <w:sz w:val="20"/>
          <w:szCs w:val="20"/>
        </w:rPr>
      </w:pP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sz w:val="20"/>
          <w:szCs w:val="20"/>
          <w:lang w:val="en-US" w:eastAsia="zh-CN"/>
        </w:rPr>
      </w:pPr>
    </w:p>
    <w:p>
      <w:pPr>
        <w:rPr>
          <w:rFonts w:hint="default" w:ascii="Times New Roman" w:hAnsi="Times New Roman" w:cs="Times New Roman"/>
          <w:b/>
          <w:bCs/>
          <w:sz w:val="20"/>
          <w:szCs w:val="20"/>
          <w:lang w:val="en-US" w:eastAsia="zh-CN"/>
        </w:rPr>
      </w:pPr>
      <w:r>
        <w:rPr>
          <w:rFonts w:hint="default" w:ascii="Times New Roman" w:hAnsi="Times New Roman" w:cs="Times New Roman"/>
          <w:b/>
          <w:bCs/>
          <w:color w:val="000000"/>
          <w:sz w:val="20"/>
          <w:szCs w:val="20"/>
          <w:lang w:val="en-US" w:eastAsia="zh-CN"/>
        </w:rPr>
        <w:t xml:space="preserve">Appendix 4 </w:t>
      </w:r>
      <w:r>
        <w:rPr>
          <w:rFonts w:hint="default" w:ascii="Times New Roman" w:hAnsi="Times New Roman" w:cs="Times New Roman"/>
          <w:b/>
          <w:bCs/>
          <w:sz w:val="20"/>
          <w:szCs w:val="20"/>
          <w:lang w:val="en-US" w:eastAsia="zh-CN"/>
        </w:rPr>
        <w:t xml:space="preserve"> coinfection with other community-acquired pathogens </w:t>
      </w:r>
    </w:p>
    <w:tbl>
      <w:tblPr>
        <w:tblStyle w:val="3"/>
        <w:tblW w:w="8447"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01"/>
        <w:gridCol w:w="1499"/>
        <w:gridCol w:w="1540"/>
        <w:gridCol w:w="1457"/>
        <w:gridCol w:w="125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bottom w:val="single" w:color="auto" w:sz="4" w:space="0"/>
              <w:right w:val="nil"/>
            </w:tcBorders>
            <w:vAlign w:val="center"/>
          </w:tcPr>
          <w:p>
            <w:pPr>
              <w:jc w:val="both"/>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sz w:val="20"/>
                <w:szCs w:val="20"/>
                <w:vertAlign w:val="baseline"/>
                <w:lang w:val="en-US" w:eastAsia="zh-CN"/>
              </w:rPr>
              <w:t>Variable</w:t>
            </w:r>
          </w:p>
        </w:tc>
        <w:tc>
          <w:tcPr>
            <w:tcW w:w="1499" w:type="dxa"/>
            <w:tcBorders>
              <w:left w:val="nil"/>
              <w:bottom w:val="single" w:color="auto" w:sz="4" w:space="0"/>
              <w:right w:val="nil"/>
            </w:tcBorders>
            <w:vAlign w:val="top"/>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Total</w:t>
            </w:r>
          </w:p>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(n=693)</w:t>
            </w:r>
          </w:p>
        </w:tc>
        <w:tc>
          <w:tcPr>
            <w:tcW w:w="1540" w:type="dxa"/>
            <w:tcBorders>
              <w:left w:val="nil"/>
              <w:bottom w:val="single" w:color="auto" w:sz="4" w:space="0"/>
              <w:right w:val="nil"/>
            </w:tcBorders>
            <w:vAlign w:val="top"/>
          </w:tcPr>
          <w:p>
            <w:pPr>
              <w:jc w:val="center"/>
              <w:rPr>
                <w:rFonts w:hint="default" w:ascii="Times New Roman" w:hAnsi="Times New Roman" w:cs="Times New Roman"/>
                <w:color w:val="000000"/>
                <w:sz w:val="20"/>
                <w:szCs w:val="20"/>
                <w:highlight w:val="none"/>
              </w:rPr>
            </w:pPr>
            <w:r>
              <w:rPr>
                <w:rFonts w:hint="default" w:ascii="Times New Roman" w:hAnsi="Times New Roman" w:cs="Times New Roman"/>
                <w:color w:val="000000"/>
                <w:sz w:val="20"/>
                <w:szCs w:val="20"/>
                <w:highlight w:val="none"/>
              </w:rPr>
              <w:t>Deceased group</w:t>
            </w:r>
          </w:p>
          <w:p>
            <w:pPr>
              <w:jc w:val="center"/>
              <w:rPr>
                <w:rFonts w:hint="default" w:ascii="Times New Roman" w:hAnsi="Times New Roman" w:eastAsia="宋体" w:cs="Times New Roman"/>
                <w:color w:val="000000"/>
                <w:kern w:val="2"/>
                <w:sz w:val="20"/>
                <w:szCs w:val="20"/>
                <w:highlight w:val="none"/>
                <w:lang w:val="en-US" w:eastAsia="zh-CN" w:bidi="ar-SA"/>
              </w:rPr>
            </w:pPr>
            <w:r>
              <w:rPr>
                <w:rFonts w:hint="default" w:ascii="Times New Roman" w:hAnsi="Times New Roman" w:cs="Times New Roman"/>
                <w:color w:val="000000"/>
                <w:sz w:val="20"/>
                <w:szCs w:val="20"/>
                <w:highlight w:val="none"/>
                <w:lang w:val="en-US" w:eastAsia="zh-CN"/>
              </w:rPr>
              <w:t>(</w:t>
            </w:r>
            <w:r>
              <w:rPr>
                <w:rFonts w:hint="default" w:ascii="Times New Roman" w:hAnsi="Times New Roman" w:cs="Times New Roman"/>
                <w:color w:val="000000"/>
                <w:sz w:val="20"/>
                <w:szCs w:val="20"/>
                <w:highlight w:val="none"/>
              </w:rPr>
              <w:t>n=136</w:t>
            </w:r>
            <w:r>
              <w:rPr>
                <w:rFonts w:hint="default" w:ascii="Times New Roman" w:hAnsi="Times New Roman" w:cs="Times New Roman"/>
                <w:color w:val="000000"/>
                <w:sz w:val="20"/>
                <w:szCs w:val="20"/>
                <w:highlight w:val="none"/>
                <w:lang w:val="en-US" w:eastAsia="zh-CN"/>
              </w:rPr>
              <w:t>)</w:t>
            </w:r>
          </w:p>
        </w:tc>
        <w:tc>
          <w:tcPr>
            <w:tcW w:w="1457" w:type="dxa"/>
            <w:tcBorders>
              <w:left w:val="nil"/>
              <w:bottom w:val="single" w:color="auto" w:sz="4" w:space="0"/>
              <w:right w:val="nil"/>
            </w:tcBorders>
            <w:vAlign w:val="top"/>
          </w:tcPr>
          <w:p>
            <w:pPr>
              <w:jc w:val="center"/>
              <w:rPr>
                <w:rFonts w:hint="default" w:ascii="Times New Roman" w:hAnsi="Times New Roman" w:eastAsia="宋体" w:cs="Times New Roman"/>
                <w:color w:val="000000"/>
                <w:kern w:val="2"/>
                <w:sz w:val="20"/>
                <w:szCs w:val="20"/>
                <w:highlight w:val="none"/>
                <w:lang w:val="en-US" w:eastAsia="zh-CN" w:bidi="ar-SA"/>
              </w:rPr>
            </w:pPr>
            <w:r>
              <w:rPr>
                <w:rFonts w:hint="default" w:ascii="Times New Roman" w:hAnsi="Times New Roman" w:cs="Times New Roman"/>
                <w:color w:val="000000"/>
                <w:sz w:val="20"/>
                <w:szCs w:val="20"/>
                <w:highlight w:val="none"/>
              </w:rPr>
              <w:t>Survival group</w:t>
            </w:r>
            <w:r>
              <w:rPr>
                <w:rFonts w:hint="default" w:ascii="Times New Roman" w:hAnsi="Times New Roman" w:cs="Times New Roman"/>
                <w:color w:val="000000"/>
                <w:sz w:val="20"/>
                <w:szCs w:val="20"/>
                <w:highlight w:val="none"/>
                <w:lang w:val="en-US" w:eastAsia="zh-CN"/>
              </w:rPr>
              <w:t xml:space="preserve"> (</w:t>
            </w:r>
            <w:r>
              <w:rPr>
                <w:rFonts w:hint="default" w:ascii="Times New Roman" w:hAnsi="Times New Roman" w:cs="Times New Roman"/>
                <w:color w:val="000000"/>
                <w:sz w:val="20"/>
                <w:szCs w:val="20"/>
                <w:highlight w:val="none"/>
              </w:rPr>
              <w:t>n=557</w:t>
            </w:r>
            <w:r>
              <w:rPr>
                <w:rFonts w:hint="default" w:ascii="Times New Roman" w:hAnsi="Times New Roman" w:cs="Times New Roman"/>
                <w:color w:val="000000"/>
                <w:sz w:val="20"/>
                <w:szCs w:val="20"/>
                <w:highlight w:val="none"/>
                <w:lang w:val="en-US" w:eastAsia="zh-CN"/>
              </w:rPr>
              <w:t>)</w:t>
            </w:r>
          </w:p>
        </w:tc>
        <w:tc>
          <w:tcPr>
            <w:tcW w:w="1250" w:type="dxa"/>
            <w:tcBorders>
              <w:left w:val="nil"/>
              <w:bottom w:val="single" w:color="auto" w:sz="4" w:space="0"/>
            </w:tcBorders>
            <w:vAlign w:val="center"/>
          </w:tcPr>
          <w:p>
            <w:pPr>
              <w:jc w:val="center"/>
              <w:rPr>
                <w:rFonts w:hint="default" w:ascii="Times New Roman" w:hAnsi="Times New Roman" w:eastAsia="宋体" w:cs="Times New Roman"/>
                <w:color w:val="000000"/>
                <w:kern w:val="2"/>
                <w:sz w:val="20"/>
                <w:szCs w:val="20"/>
                <w:highlight w:val="none"/>
                <w:lang w:val="en-US" w:eastAsia="zh-CN" w:bidi="ar-SA"/>
              </w:rPr>
            </w:pPr>
            <w:r>
              <w:rPr>
                <w:rFonts w:hint="default" w:ascii="Times New Roman" w:hAnsi="Times New Roman" w:cs="Times New Roman"/>
                <w:i/>
                <w:iCs/>
                <w:color w:val="auto"/>
                <w:sz w:val="20"/>
                <w:szCs w:val="20"/>
                <w:vertAlign w:val="baseline"/>
                <w:lang w:val="en-US" w:eastAsia="zh-CN"/>
              </w:rPr>
              <w:t>p</w:t>
            </w:r>
            <w:r>
              <w:rPr>
                <w:rFonts w:hint="default" w:ascii="Times New Roman" w:hAnsi="Times New Roman" w:cs="Times New Roman"/>
                <w:sz w:val="20"/>
                <w:szCs w:val="20"/>
                <w:highlight w:val="none"/>
              </w:rPr>
              <w:t>-value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top w:val="single" w:color="auto" w:sz="4" w:space="0"/>
              <w:right w:val="nil"/>
              <w:tl2br w:val="nil"/>
              <w:tr2bl w:val="nil"/>
            </w:tcBorders>
          </w:tcPr>
          <w:p>
            <w:pP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sz w:val="20"/>
                <w:szCs w:val="20"/>
                <w:vertAlign w:val="baseline"/>
                <w:lang w:val="en-US" w:eastAsia="zh-CN"/>
              </w:rPr>
              <w:t>Coinfection (n,%)</w:t>
            </w:r>
          </w:p>
        </w:tc>
        <w:tc>
          <w:tcPr>
            <w:tcW w:w="1499" w:type="dxa"/>
            <w:tcBorders>
              <w:top w:val="single" w:color="auto" w:sz="4" w:space="0"/>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265 (38.2)</w:t>
            </w:r>
          </w:p>
        </w:tc>
        <w:tc>
          <w:tcPr>
            <w:tcW w:w="1540" w:type="dxa"/>
            <w:tcBorders>
              <w:top w:val="single" w:color="auto" w:sz="4" w:space="0"/>
              <w:left w:val="nil"/>
              <w:bottom w:val="nil"/>
              <w:right w:val="nil"/>
            </w:tcBorders>
            <w:vAlign w:val="center"/>
          </w:tcPr>
          <w:p>
            <w:pPr>
              <w:jc w:val="center"/>
              <w:rPr>
                <w:rFonts w:hint="default" w:ascii="Times New Roman" w:hAnsi="Times New Roman" w:eastAsia="宋体" w:cs="Times New Roman"/>
                <w:color w:val="000000"/>
                <w:kern w:val="2"/>
                <w:sz w:val="20"/>
                <w:szCs w:val="20"/>
                <w:highlight w:val="none"/>
                <w:lang w:val="en-US" w:eastAsia="zh-CN" w:bidi="ar-SA"/>
              </w:rPr>
            </w:pPr>
            <w:r>
              <w:rPr>
                <w:rFonts w:hint="default" w:ascii="Times New Roman" w:hAnsi="Times New Roman" w:cs="Times New Roman"/>
                <w:color w:val="000000"/>
                <w:sz w:val="20"/>
                <w:szCs w:val="20"/>
                <w:highlight w:val="none"/>
                <w:lang w:val="en-US" w:eastAsia="zh-CN"/>
              </w:rPr>
              <w:t>84 (61.8)</w:t>
            </w:r>
          </w:p>
        </w:tc>
        <w:tc>
          <w:tcPr>
            <w:tcW w:w="1457" w:type="dxa"/>
            <w:tcBorders>
              <w:top w:val="single" w:color="auto" w:sz="4" w:space="0"/>
              <w:left w:val="nil"/>
              <w:bottom w:val="nil"/>
              <w:right w:val="nil"/>
            </w:tcBorders>
            <w:vAlign w:val="center"/>
          </w:tcPr>
          <w:p>
            <w:pPr>
              <w:jc w:val="center"/>
              <w:rPr>
                <w:rFonts w:hint="default" w:ascii="Times New Roman" w:hAnsi="Times New Roman" w:eastAsia="宋体" w:cs="Times New Roman"/>
                <w:color w:val="000000"/>
                <w:kern w:val="2"/>
                <w:sz w:val="20"/>
                <w:szCs w:val="20"/>
                <w:highlight w:val="none"/>
                <w:lang w:val="en-US" w:eastAsia="zh-CN" w:bidi="ar-SA"/>
              </w:rPr>
            </w:pPr>
            <w:r>
              <w:rPr>
                <w:rFonts w:hint="default" w:ascii="Times New Roman" w:hAnsi="Times New Roman" w:cs="Times New Roman"/>
                <w:color w:val="000000"/>
                <w:sz w:val="20"/>
                <w:szCs w:val="20"/>
                <w:highlight w:val="none"/>
                <w:lang w:val="en-US" w:eastAsia="zh-CN"/>
              </w:rPr>
              <w:t>181 (32.5)</w:t>
            </w:r>
          </w:p>
        </w:tc>
        <w:tc>
          <w:tcPr>
            <w:tcW w:w="1250" w:type="dxa"/>
            <w:tcBorders>
              <w:top w:val="single" w:color="auto" w:sz="4" w:space="0"/>
              <w:left w:val="nil"/>
              <w:bottom w:val="nil"/>
            </w:tcBorders>
          </w:tcPr>
          <w:p>
            <w:pPr>
              <w:jc w:val="center"/>
              <w:rPr>
                <w:rFonts w:hint="default" w:ascii="Times New Roman" w:hAnsi="Times New Roman" w:cs="Times New Roman" w:eastAsiaTheme="minorEastAsia"/>
                <w:sz w:val="20"/>
                <w:szCs w:val="20"/>
                <w:vertAlign w:val="baseline"/>
                <w:lang w:val="en-US" w:eastAsia="zh-CN"/>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sz w:val="20"/>
                <w:szCs w:val="20"/>
                <w:vertAlign w:val="baseline"/>
                <w:lang w:val="en-US" w:eastAsia="zh-CN"/>
              </w:rPr>
              <w:t>Pathogens (n,%)</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p>
        </w:tc>
        <w:tc>
          <w:tcPr>
            <w:tcW w:w="1457" w:type="dxa"/>
            <w:tcBorders>
              <w:top w:val="nil"/>
              <w:left w:val="nil"/>
              <w:bottom w:val="nil"/>
              <w:right w:val="nil"/>
            </w:tcBorders>
          </w:tcPr>
          <w:p>
            <w:pPr>
              <w:jc w:val="center"/>
              <w:rPr>
                <w:rFonts w:hint="default" w:ascii="Times New Roman" w:hAnsi="Times New Roman" w:cs="Times New Roman"/>
                <w:sz w:val="20"/>
                <w:szCs w:val="20"/>
                <w:vertAlign w:val="baseline"/>
              </w:rPr>
            </w:pPr>
          </w:p>
        </w:tc>
        <w:tc>
          <w:tcPr>
            <w:tcW w:w="1250" w:type="dxa"/>
            <w:tcBorders>
              <w:top w:val="nil"/>
              <w:left w:val="nil"/>
              <w:bottom w:val="nil"/>
            </w:tcBorders>
          </w:tcPr>
          <w:p>
            <w:pPr>
              <w:jc w:val="center"/>
              <w:rPr>
                <w:rFonts w:hint="default" w:ascii="Times New Roman" w:hAnsi="Times New Roman" w:cs="Times New Roman"/>
                <w:sz w:val="20"/>
                <w:szCs w:val="20"/>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vAlign w:val="top"/>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kern w:val="2"/>
                <w:sz w:val="20"/>
                <w:szCs w:val="20"/>
                <w:vertAlign w:val="baseline"/>
                <w:lang w:val="en-US" w:eastAsia="zh-CN" w:bidi="ar-SA"/>
              </w:rPr>
            </w:pPr>
            <w:r>
              <w:rPr>
                <w:rFonts w:hint="default" w:ascii="Times New Roman" w:hAnsi="Times New Roman" w:cs="Times New Roman"/>
                <w:i/>
                <w:iCs/>
                <w:sz w:val="20"/>
                <w:szCs w:val="20"/>
                <w:vertAlign w:val="baseline"/>
                <w:lang w:val="en-US" w:eastAsia="zh-CN"/>
              </w:rPr>
              <w:t>Klebsiella pneumoniae</w:t>
            </w:r>
          </w:p>
        </w:tc>
        <w:tc>
          <w:tcPr>
            <w:tcW w:w="1499" w:type="dxa"/>
            <w:tcBorders>
              <w:top w:val="nil"/>
              <w:left w:val="nil"/>
              <w:bottom w:val="nil"/>
              <w:right w:val="nil"/>
            </w:tcBorders>
            <w:vAlign w:val="top"/>
          </w:tcPr>
          <w:p>
            <w:pPr>
              <w:jc w:val="center"/>
              <w:rPr>
                <w:rFonts w:hint="default" w:ascii="Times New Roman" w:hAnsi="Times New Roman" w:cs="Times New Roman" w:eastAsiaTheme="minorEastAsia"/>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81 (30.6)</w:t>
            </w:r>
          </w:p>
        </w:tc>
        <w:tc>
          <w:tcPr>
            <w:tcW w:w="1540" w:type="dxa"/>
            <w:tcBorders>
              <w:top w:val="nil"/>
              <w:left w:val="nil"/>
              <w:bottom w:val="nil"/>
              <w:right w:val="nil"/>
            </w:tcBorders>
            <w:vAlign w:val="top"/>
          </w:tcPr>
          <w:p>
            <w:pPr>
              <w:jc w:val="center"/>
              <w:rPr>
                <w:rFonts w:hint="default" w:ascii="Times New Roman" w:hAnsi="Times New Roman" w:cs="Times New Roman" w:eastAsiaTheme="minorEastAsia"/>
                <w:kern w:val="2"/>
                <w:sz w:val="20"/>
                <w:szCs w:val="20"/>
                <w:vertAlign w:val="baseline"/>
                <w:lang w:val="en-US" w:eastAsia="zh-CN" w:bidi="ar-SA"/>
              </w:rPr>
            </w:pPr>
            <w:r>
              <w:rPr>
                <w:rFonts w:hint="default" w:ascii="Times New Roman" w:hAnsi="Times New Roman" w:cs="Times New Roman" w:eastAsiaTheme="minorEastAsia"/>
                <w:kern w:val="2"/>
                <w:sz w:val="20"/>
                <w:szCs w:val="20"/>
                <w:vertAlign w:val="baseline"/>
                <w:lang w:val="en-US" w:eastAsia="zh-CN" w:bidi="ar-SA"/>
              </w:rPr>
              <w:t>25 (29.8)</w:t>
            </w:r>
          </w:p>
        </w:tc>
        <w:tc>
          <w:tcPr>
            <w:tcW w:w="1457" w:type="dxa"/>
            <w:tcBorders>
              <w:top w:val="nil"/>
              <w:left w:val="nil"/>
              <w:bottom w:val="nil"/>
              <w:right w:val="nil"/>
            </w:tcBorders>
            <w:vAlign w:val="top"/>
          </w:tcPr>
          <w:p>
            <w:pPr>
              <w:jc w:val="center"/>
              <w:rPr>
                <w:rFonts w:hint="default" w:ascii="Times New Roman" w:hAnsi="Times New Roman" w:cs="Times New Roman" w:eastAsiaTheme="minorEastAsia"/>
                <w:kern w:val="2"/>
                <w:sz w:val="20"/>
                <w:szCs w:val="20"/>
                <w:vertAlign w:val="baseline"/>
                <w:lang w:val="en-US" w:eastAsia="zh-CN" w:bidi="ar-SA"/>
              </w:rPr>
            </w:pPr>
            <w:r>
              <w:rPr>
                <w:rFonts w:hint="default" w:ascii="Times New Roman" w:hAnsi="Times New Roman" w:cs="Times New Roman" w:eastAsiaTheme="minorEastAsia"/>
                <w:kern w:val="2"/>
                <w:sz w:val="20"/>
                <w:szCs w:val="20"/>
                <w:vertAlign w:val="baseline"/>
                <w:lang w:val="en-US" w:eastAsia="zh-CN" w:bidi="ar-SA"/>
              </w:rPr>
              <w:t>56 (30.9)</w:t>
            </w:r>
          </w:p>
        </w:tc>
        <w:tc>
          <w:tcPr>
            <w:tcW w:w="1250" w:type="dxa"/>
            <w:tcBorders>
              <w:top w:val="nil"/>
              <w:left w:val="nil"/>
              <w:bottom w:val="nil"/>
            </w:tcBorders>
            <w:vAlign w:val="top"/>
          </w:tcPr>
          <w:p>
            <w:pPr>
              <w:jc w:val="center"/>
              <w:rPr>
                <w:rFonts w:hint="default" w:ascii="Times New Roman" w:hAnsi="Times New Roman" w:cs="Times New Roman" w:eastAsiaTheme="minorEastAsia"/>
                <w:kern w:val="2"/>
                <w:sz w:val="20"/>
                <w:szCs w:val="20"/>
                <w:vertAlign w:val="baseline"/>
                <w:lang w:val="en-US" w:eastAsia="zh-CN" w:bidi="ar-SA"/>
              </w:rPr>
            </w:pPr>
            <w:r>
              <w:rPr>
                <w:rFonts w:hint="default" w:ascii="Times New Roman" w:hAnsi="Times New Roman" w:cs="Times New Roman" w:eastAsiaTheme="minorEastAsia"/>
                <w:kern w:val="2"/>
                <w:sz w:val="20"/>
                <w:szCs w:val="20"/>
                <w:vertAlign w:val="baseline"/>
                <w:lang w:val="en-US" w:eastAsia="zh-CN" w:bidi="ar-SA"/>
              </w:rPr>
              <w:t>0.847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trPr>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Streptococcus pneumoniae</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88 (33.2)</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25 (29.8)</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63 (34.8)</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0.417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Staphylococcus aureus</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54 (20.4)</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21 (23.8)</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33 (18.8)</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0.203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Haemophilus influenzae</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17 (6.4)</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6 (7.1)</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11 (6.1)</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0.742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Pseudomonas aeruginosa</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12 (4.5)</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4 (4.8)</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8 (4.4)</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Klebsiella acidogens</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7 (2.6)</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2 (2.4)</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5 (2.8)</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Acinetobacter</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5 (1.9)</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2 (2.4)</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3 (1.7)</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Proteus spp.</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3 (1.1)</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1 (1.2)</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2 (1.1)</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Stenotrophomonas maltophilia</w:t>
            </w:r>
          </w:p>
        </w:tc>
        <w:tc>
          <w:tcPr>
            <w:tcW w:w="1499" w:type="dxa"/>
            <w:tcBorders>
              <w:top w:val="nil"/>
              <w:left w:val="nil"/>
              <w:bottom w:val="nil"/>
              <w:right w:val="nil"/>
            </w:tcBorders>
            <w:vAlign w:val="center"/>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3 (1.1)</w:t>
            </w:r>
          </w:p>
        </w:tc>
        <w:tc>
          <w:tcPr>
            <w:tcW w:w="1540" w:type="dxa"/>
            <w:tcBorders>
              <w:top w:val="nil"/>
              <w:left w:val="nil"/>
              <w:bottom w:val="nil"/>
              <w:right w:val="nil"/>
            </w:tcBorders>
            <w:vAlign w:val="center"/>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0 (0.0)</w:t>
            </w:r>
          </w:p>
        </w:tc>
        <w:tc>
          <w:tcPr>
            <w:tcW w:w="1457" w:type="dxa"/>
            <w:tcBorders>
              <w:top w:val="nil"/>
              <w:left w:val="nil"/>
              <w:bottom w:val="nil"/>
              <w:right w:val="nil"/>
            </w:tcBorders>
            <w:vAlign w:val="center"/>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3 (1.7)</w:t>
            </w:r>
          </w:p>
        </w:tc>
        <w:tc>
          <w:tcPr>
            <w:tcW w:w="1250" w:type="dxa"/>
            <w:tcBorders>
              <w:top w:val="nil"/>
              <w:left w:val="nil"/>
              <w:bottom w:val="nil"/>
            </w:tcBorders>
            <w:vAlign w:val="center"/>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0.554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 xml:space="preserve">Escherichia coli </w:t>
            </w:r>
          </w:p>
        </w:tc>
        <w:tc>
          <w:tcPr>
            <w:tcW w:w="1499" w:type="dxa"/>
            <w:tcBorders>
              <w:top w:val="nil"/>
              <w:left w:val="nil"/>
              <w:bottom w:val="nil"/>
              <w:right w:val="nil"/>
            </w:tcBorders>
            <w:vAlign w:val="top"/>
          </w:tcPr>
          <w:p>
            <w:pPr>
              <w:jc w:val="center"/>
              <w:rPr>
                <w:rFonts w:hint="default" w:ascii="Times New Roman" w:hAnsi="Times New Roman" w:eastAsia="宋体" w:cs="Times New Roman"/>
                <w:kern w:val="2"/>
                <w:sz w:val="20"/>
                <w:szCs w:val="20"/>
                <w:vertAlign w:val="baseline"/>
                <w:lang w:val="en-US" w:eastAsia="zh-CN" w:bidi="ar-SA"/>
              </w:rPr>
            </w:pPr>
            <w:r>
              <w:rPr>
                <w:rFonts w:hint="default" w:ascii="Times New Roman" w:hAnsi="Times New Roman" w:cs="Times New Roman"/>
                <w:sz w:val="20"/>
                <w:szCs w:val="20"/>
                <w:vertAlign w:val="baseline"/>
                <w:lang w:val="en-US" w:eastAsia="zh-CN"/>
              </w:rPr>
              <w:t>2 (0.8)</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0 (0.0)</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2 (1.1)</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l2br w:val="nil"/>
              <w:tr2bl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Aspergillus spp.</w:t>
            </w:r>
          </w:p>
        </w:tc>
        <w:tc>
          <w:tcPr>
            <w:tcW w:w="1499" w:type="dxa"/>
            <w:tcBorders>
              <w:top w:val="nil"/>
              <w:left w:val="nil"/>
              <w:bottom w:val="nil"/>
              <w:right w:val="nil"/>
            </w:tcBorders>
            <w:vAlign w:val="top"/>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2 (0.3)</w:t>
            </w:r>
          </w:p>
        </w:tc>
        <w:tc>
          <w:tcPr>
            <w:tcW w:w="1540" w:type="dxa"/>
            <w:tcBorders>
              <w:top w:val="nil"/>
              <w:left w:val="nil"/>
              <w:bottom w:val="nil"/>
              <w:right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1 (1.2)</w:t>
            </w:r>
          </w:p>
        </w:tc>
        <w:tc>
          <w:tcPr>
            <w:tcW w:w="1457" w:type="dxa"/>
            <w:tcBorders>
              <w:top w:val="nil"/>
              <w:left w:val="nil"/>
              <w:bottom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1 (0.6)</w:t>
            </w:r>
          </w:p>
        </w:tc>
        <w:tc>
          <w:tcPr>
            <w:tcW w:w="1250" w:type="dxa"/>
            <w:tcBorders>
              <w:top w:val="nil"/>
              <w:left w:val="nil"/>
              <w:bottom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0.534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2701" w:type="dxa"/>
            <w:tcBorders>
              <w:right w:val="nil"/>
            </w:tcBorders>
          </w:tcPr>
          <w:p>
            <w:pPr>
              <w:keepNext w:val="0"/>
              <w:keepLines w:val="0"/>
              <w:pageBreakBefore w:val="0"/>
              <w:widowControl w:val="0"/>
              <w:kinsoku/>
              <w:wordWrap/>
              <w:overflowPunct/>
              <w:topLinePunct w:val="0"/>
              <w:autoSpaceDE/>
              <w:autoSpaceDN/>
              <w:bidi w:val="0"/>
              <w:adjustRightInd/>
              <w:snapToGrid/>
              <w:ind w:left="210" w:leftChars="100"/>
              <w:textAlignment w:val="auto"/>
              <w:rPr>
                <w:rFonts w:hint="default" w:ascii="Times New Roman" w:hAnsi="Times New Roman" w:cs="Times New Roman" w:eastAsiaTheme="minorEastAsia"/>
                <w:i/>
                <w:iCs/>
                <w:sz w:val="20"/>
                <w:szCs w:val="20"/>
                <w:vertAlign w:val="baseline"/>
                <w:lang w:val="en-US" w:eastAsia="zh-CN"/>
              </w:rPr>
            </w:pPr>
            <w:r>
              <w:rPr>
                <w:rFonts w:hint="default" w:ascii="Times New Roman" w:hAnsi="Times New Roman" w:cs="Times New Roman"/>
                <w:i/>
                <w:iCs/>
                <w:sz w:val="20"/>
                <w:szCs w:val="20"/>
                <w:vertAlign w:val="baseline"/>
                <w:lang w:val="en-US" w:eastAsia="zh-CN"/>
              </w:rPr>
              <w:t>Citrobacter spp.</w:t>
            </w:r>
          </w:p>
        </w:tc>
        <w:tc>
          <w:tcPr>
            <w:tcW w:w="1499" w:type="dxa"/>
            <w:tcBorders>
              <w:top w:val="nil"/>
              <w:left w:val="nil"/>
            </w:tcBorders>
          </w:tcPr>
          <w:p>
            <w:pPr>
              <w:keepNext w:val="0"/>
              <w:keepLines w:val="0"/>
              <w:pageBreakBefore w:val="0"/>
              <w:widowControl w:val="0"/>
              <w:kinsoku/>
              <w:wordWrap/>
              <w:overflowPunct/>
              <w:topLinePunct w:val="0"/>
              <w:autoSpaceDE/>
              <w:autoSpaceDN/>
              <w:bidi w:val="0"/>
              <w:adjustRightInd/>
              <w:snapToGrid/>
              <w:ind w:left="210" w:leftChars="100"/>
              <w:jc w:val="center"/>
              <w:textAlignment w:val="auto"/>
              <w:rPr>
                <w:rFonts w:hint="default" w:ascii="Times New Roman" w:hAnsi="Times New Roman" w:cs="Times New Roman"/>
                <w:i w:val="0"/>
                <w:iCs w:val="0"/>
                <w:sz w:val="20"/>
                <w:szCs w:val="20"/>
                <w:vertAlign w:val="baseline"/>
                <w:lang w:val="en-US" w:eastAsia="zh-CN"/>
              </w:rPr>
            </w:pPr>
            <w:r>
              <w:rPr>
                <w:rFonts w:hint="default" w:ascii="Times New Roman" w:hAnsi="Times New Roman" w:cs="Times New Roman"/>
                <w:i w:val="0"/>
                <w:iCs w:val="0"/>
                <w:sz w:val="20"/>
                <w:szCs w:val="20"/>
                <w:vertAlign w:val="baseline"/>
                <w:lang w:val="en-US" w:eastAsia="zh-CN"/>
              </w:rPr>
              <w:t>1 (0.3)</w:t>
            </w:r>
          </w:p>
        </w:tc>
        <w:tc>
          <w:tcPr>
            <w:tcW w:w="1540" w:type="dxa"/>
            <w:tcBorders>
              <w:top w:val="nil"/>
            </w:tcBorders>
          </w:tcPr>
          <w:p>
            <w:pPr>
              <w:jc w:val="center"/>
              <w:rPr>
                <w:rFonts w:hint="default" w:ascii="Times New Roman" w:hAnsi="Times New Roman" w:cs="Times New Roman"/>
                <w:sz w:val="20"/>
                <w:szCs w:val="20"/>
                <w:vertAlign w:val="baseline"/>
                <w:lang w:val="en-US" w:eastAsia="zh-CN"/>
              </w:rPr>
            </w:pPr>
            <w:r>
              <w:rPr>
                <w:rFonts w:hint="default" w:ascii="Times New Roman" w:hAnsi="Times New Roman" w:cs="Times New Roman"/>
                <w:sz w:val="20"/>
                <w:szCs w:val="20"/>
                <w:vertAlign w:val="baseline"/>
                <w:lang w:val="en-US" w:eastAsia="zh-CN"/>
              </w:rPr>
              <w:t>1 (1.2)</w:t>
            </w:r>
          </w:p>
        </w:tc>
        <w:tc>
          <w:tcPr>
            <w:tcW w:w="1457" w:type="dxa"/>
            <w:tcBorders>
              <w:top w:val="nil"/>
              <w:right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 (0.0)</w:t>
            </w:r>
          </w:p>
        </w:tc>
        <w:tc>
          <w:tcPr>
            <w:tcW w:w="1250" w:type="dxa"/>
            <w:tcBorders>
              <w:top w:val="nil"/>
              <w:left w:val="nil"/>
              <w:tl2br w:val="nil"/>
              <w:tr2bl w:val="nil"/>
            </w:tcBorders>
          </w:tcPr>
          <w:p>
            <w:pPr>
              <w:jc w:val="center"/>
              <w:rPr>
                <w:rFonts w:hint="default" w:ascii="Times New Roman" w:hAnsi="Times New Roman" w:cs="Times New Roman" w:eastAsiaTheme="minorEastAsia"/>
                <w:sz w:val="20"/>
                <w:szCs w:val="20"/>
                <w:vertAlign w:val="baseline"/>
                <w:lang w:val="en-US" w:eastAsia="zh-CN"/>
              </w:rPr>
            </w:pPr>
            <w:r>
              <w:rPr>
                <w:rFonts w:hint="default" w:ascii="Times New Roman" w:hAnsi="Times New Roman" w:cs="Times New Roman" w:eastAsiaTheme="minorEastAsia"/>
                <w:sz w:val="20"/>
                <w:szCs w:val="20"/>
                <w:vertAlign w:val="baseline"/>
                <w:lang w:val="en-US" w:eastAsia="zh-CN"/>
              </w:rPr>
              <w:t>0.317</w:t>
            </w:r>
          </w:p>
        </w:tc>
      </w:tr>
    </w:tbl>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4 deceased patients and 6 survival patients were coinfected with ≥ 2 pathogens</w:t>
      </w:r>
    </w:p>
    <w:p>
      <w:pPr>
        <w:keepNext w:val="0"/>
        <w:keepLines w:val="0"/>
        <w:pageBreakBefore w:val="0"/>
        <w:numPr>
          <w:ilvl w:val="0"/>
          <w:numId w:val="0"/>
        </w:numPr>
        <w:kinsoku/>
        <w:wordWrap/>
        <w:overflowPunct/>
        <w:topLinePunct w:val="0"/>
        <w:autoSpaceDE/>
        <w:autoSpaceDN/>
        <w:bidi w:val="0"/>
        <w:adjustRightInd/>
        <w:snapToGrid/>
        <w:spacing w:line="360" w:lineRule="auto"/>
        <w:ind w:leftChars="0"/>
        <w:jc w:val="both"/>
        <w:textAlignment w:val="auto"/>
        <w:rPr>
          <w:rFonts w:hint="default" w:ascii="Times New Roman" w:hAnsi="Times New Roman" w:cs="Times New Roman"/>
          <w:sz w:val="20"/>
          <w:szCs w:val="20"/>
          <w:lang w:val="en-US" w:eastAsia="zh-CN"/>
        </w:rPr>
      </w:pPr>
    </w:p>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Appendix 5 The comparison of patients in the early NAIs use group and the control group</w:t>
      </w:r>
    </w:p>
    <w:tbl>
      <w:tblPr>
        <w:tblStyle w:val="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48"/>
        <w:gridCol w:w="1906"/>
        <w:gridCol w:w="1910"/>
        <w:gridCol w:w="122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3348" w:type="dxa"/>
            <w:tcBorders>
              <w:bottom w:val="single" w:color="auto" w:sz="4" w:space="0"/>
            </w:tcBorders>
            <w:noWrap w:val="0"/>
            <w:vAlign w:val="center"/>
          </w:tcPr>
          <w:p>
            <w:pPr>
              <w:jc w:val="both"/>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Variables</w:t>
            </w:r>
          </w:p>
        </w:tc>
        <w:tc>
          <w:tcPr>
            <w:tcW w:w="1906" w:type="dxa"/>
            <w:tcBorders>
              <w:bottom w:val="single" w:color="auto" w:sz="4" w:space="0"/>
            </w:tcBorders>
            <w:noWrap w:val="0"/>
            <w:vAlign w:val="center"/>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Early NAIs use group</w:t>
            </w:r>
            <w:r>
              <w:rPr>
                <w:rFonts w:hint="eastAsia" w:ascii="Times New Roman" w:hAnsi="Times New Roman" w:cs="Times New Roman"/>
                <w:color w:val="auto"/>
                <w:sz w:val="20"/>
                <w:szCs w:val="20"/>
                <w:vertAlign w:val="baseline"/>
                <w:lang w:val="en-US" w:eastAsia="zh-CN"/>
              </w:rPr>
              <w:t xml:space="preserve"> </w:t>
            </w:r>
            <w:r>
              <w:rPr>
                <w:rFonts w:hint="default" w:ascii="Times New Roman" w:hAnsi="Times New Roman" w:cs="Times New Roman"/>
                <w:color w:val="auto"/>
                <w:sz w:val="20"/>
                <w:szCs w:val="20"/>
                <w:vertAlign w:val="baseline"/>
                <w:lang w:val="en-US" w:eastAsia="zh-CN"/>
              </w:rPr>
              <w:t>(n=232)</w:t>
            </w:r>
          </w:p>
        </w:tc>
        <w:tc>
          <w:tcPr>
            <w:tcW w:w="1910" w:type="dxa"/>
            <w:tcBorders>
              <w:bottom w:val="single" w:color="auto" w:sz="4" w:space="0"/>
            </w:tcBorders>
            <w:noWrap w:val="0"/>
            <w:vAlign w:val="center"/>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Control group</w:t>
            </w:r>
          </w:p>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(n=461)</w:t>
            </w:r>
          </w:p>
        </w:tc>
        <w:tc>
          <w:tcPr>
            <w:tcW w:w="1226" w:type="dxa"/>
            <w:tcBorders>
              <w:bottom w:val="single" w:color="auto" w:sz="4" w:space="0"/>
            </w:tcBorders>
            <w:noWrap w:val="0"/>
            <w:vAlign w:val="center"/>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i/>
                <w:iCs/>
                <w:color w:val="auto"/>
                <w:sz w:val="20"/>
                <w:szCs w:val="20"/>
                <w:vertAlign w:val="baseline"/>
                <w:lang w:val="en-US" w:eastAsia="zh-CN"/>
              </w:rPr>
              <w:t>p</w:t>
            </w:r>
            <w:r>
              <w:rPr>
                <w:rFonts w:hint="default" w:ascii="Times New Roman" w:hAnsi="Times New Roman" w:cs="Times New Roman"/>
                <w:i w:val="0"/>
                <w:iCs w:val="0"/>
                <w:color w:val="auto"/>
                <w:sz w:val="20"/>
                <w:szCs w:val="20"/>
                <w:vertAlign w:val="baseline"/>
                <w:lang w:val="en-US" w:eastAsia="zh-CN"/>
              </w:rPr>
              <w:t xml:space="preserve"> </w:t>
            </w:r>
            <w:r>
              <w:rPr>
                <w:rFonts w:hint="default" w:ascii="Times New Roman" w:hAnsi="Times New Roman" w:cs="Times New Roman"/>
                <w:color w:val="auto"/>
                <w:sz w:val="20"/>
                <w:szCs w:val="20"/>
                <w:vertAlign w:val="baseline"/>
                <w:lang w:val="en-US" w:eastAsia="zh-CN"/>
              </w:rPr>
              <w:t>value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op w:val="single" w:color="auto" w:sz="4" w:space="0"/>
              <w:tl2br w:val="nil"/>
              <w:tr2bl w:val="nil"/>
            </w:tcBorders>
            <w:noWrap w:val="0"/>
            <w:vAlign w:val="top"/>
          </w:tcPr>
          <w:p>
            <w:pPr>
              <w:rPr>
                <w:rFonts w:hint="default" w:ascii="Times New Roman" w:hAnsi="Times New Roman" w:eastAsia="宋体" w:cs="Times New Roman"/>
                <w:color w:val="auto"/>
                <w:sz w:val="20"/>
                <w:szCs w:val="20"/>
                <w:vertAlign w:val="baseline"/>
                <w:lang w:eastAsia="zh-CN"/>
              </w:rPr>
            </w:pPr>
            <w:r>
              <w:rPr>
                <w:rFonts w:hint="default" w:ascii="Times New Roman" w:hAnsi="Times New Roman" w:cs="Times New Roman"/>
                <w:color w:val="auto"/>
                <w:sz w:val="20"/>
                <w:szCs w:val="20"/>
                <w:vertAlign w:val="baseline"/>
                <w:lang w:val="en-US" w:eastAsia="zh-CN"/>
              </w:rPr>
              <w:t>Male</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lang w:val="en-US" w:eastAsia="zh-CN"/>
              </w:rPr>
              <w:t xml:space="preserve">n,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highlight w:val="none"/>
                <w:vertAlign w:val="superscript"/>
                <w:lang w:val="en-US" w:eastAsia="zh-CN"/>
              </w:rPr>
              <w:t>#</w:t>
            </w:r>
          </w:p>
        </w:tc>
        <w:tc>
          <w:tcPr>
            <w:tcW w:w="1906" w:type="dxa"/>
            <w:tcBorders>
              <w:top w:val="single" w:color="auto" w:sz="4" w:space="0"/>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184 (79.3)</w:t>
            </w:r>
          </w:p>
        </w:tc>
        <w:tc>
          <w:tcPr>
            <w:tcW w:w="1910" w:type="dxa"/>
            <w:tcBorders>
              <w:top w:val="single" w:color="auto" w:sz="4" w:space="0"/>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277 (60.1)</w:t>
            </w:r>
          </w:p>
        </w:tc>
        <w:tc>
          <w:tcPr>
            <w:tcW w:w="1226" w:type="dxa"/>
            <w:tcBorders>
              <w:top w:val="single" w:color="auto" w:sz="4" w:space="0"/>
              <w:tl2br w:val="nil"/>
              <w:tr2bl w:val="nil"/>
            </w:tcBorders>
            <w:noWrap w:val="0"/>
            <w:vAlign w:val="top"/>
          </w:tcPr>
          <w:p>
            <w:pPr>
              <w:jc w:val="center"/>
              <w:rPr>
                <w:rFonts w:hint="default" w:ascii="Times New Roman" w:hAnsi="Times New Roman"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Age ≥ 65 years old</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48 (20.9)</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224 (48.6)</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BMI ≥ 30 kg/m</w:t>
            </w:r>
            <w:r>
              <w:rPr>
                <w:rFonts w:hint="default" w:ascii="Times New Roman" w:hAnsi="Times New Roman" w:cs="Times New Roman"/>
                <w:color w:val="auto"/>
                <w:sz w:val="20"/>
                <w:szCs w:val="20"/>
                <w:vertAlign w:val="superscript"/>
                <w:lang w:val="en-US" w:eastAsia="zh-CN"/>
              </w:rPr>
              <w:t>2</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lang w:val="en-US" w:eastAsia="zh-CN"/>
              </w:rPr>
              <w:t xml:space="preserve">n,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16 (6.9)</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32 (6.9)</w:t>
            </w:r>
          </w:p>
        </w:tc>
        <w:tc>
          <w:tcPr>
            <w:tcW w:w="122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0.982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Pregnancy</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8 (1.7)</w:t>
            </w:r>
          </w:p>
        </w:tc>
        <w:tc>
          <w:tcPr>
            <w:tcW w:w="122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0.101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rPr>
                <w:rFonts w:hint="default" w:ascii="Times New Roman" w:hAnsi="Times New Roman" w:cs="Times New Roman"/>
                <w:color w:val="auto"/>
                <w:sz w:val="20"/>
                <w:szCs w:val="20"/>
                <w:vertAlign w:val="baseline"/>
              </w:rPr>
            </w:pPr>
            <w:r>
              <w:rPr>
                <w:rFonts w:hint="default" w:ascii="Times New Roman" w:hAnsi="Times New Roman" w:cs="Times New Roman"/>
                <w:color w:val="auto"/>
                <w:sz w:val="20"/>
                <w:szCs w:val="20"/>
                <w:vertAlign w:val="baseline"/>
                <w:lang w:val="en-US" w:eastAsia="zh-CN"/>
              </w:rPr>
              <w:t>Comorbidities (</w:t>
            </w:r>
            <w:r>
              <w:rPr>
                <w:rFonts w:hint="default" w:ascii="Times New Roman" w:hAnsi="Times New Roman" w:cs="Times New Roman"/>
                <w:color w:val="auto"/>
                <w:sz w:val="20"/>
                <w:szCs w:val="20"/>
                <w:lang w:val="en-US" w:eastAsia="zh-CN"/>
              </w:rPr>
              <w:t xml:space="preserve">n,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80 (34.5)</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283 (60.7)</w:t>
            </w: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Cardiovascular disease</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16 (6.9)</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120 (26.0)</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Diabetes mellitus</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92 (20.0)</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Cerebrovascular disease</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40 (17.2)</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32 (5.0)</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COPD</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23 (9.9)</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17 (3.7)</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Asthma</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13 (5.6)</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6 (1.3)</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Chronic kidney disease</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16 (3.5)</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textAlignment w:val="auto"/>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Malignant solid tumor</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16 (3.5)</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0.004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rPr>
                <w:rFonts w:hint="default" w:ascii="Times New Roman" w:hAnsi="Times New Roman" w:cs="Times New Roman"/>
                <w:color w:val="auto"/>
                <w:sz w:val="20"/>
                <w:szCs w:val="20"/>
                <w:vertAlign w:val="baseline"/>
                <w:lang w:val="en-US"/>
              </w:rPr>
            </w:pPr>
            <w:r>
              <w:rPr>
                <w:rFonts w:hint="default" w:ascii="Times New Roman" w:hAnsi="Times New Roman" w:cs="Times New Roman"/>
                <w:color w:val="auto"/>
                <w:sz w:val="20"/>
                <w:szCs w:val="20"/>
                <w:vertAlign w:val="baseline"/>
                <w:lang w:val="en-US" w:eastAsia="zh-CN"/>
              </w:rPr>
              <w:t>Clinical and radiologic features</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lang w:val="en-US" w:eastAsia="zh-CN"/>
              </w:rPr>
              <w:t xml:space="preserve">n,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rPr>
            </w:pP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rPr>
            </w:pP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vertAlign w:val="baseline"/>
              </w:rPr>
            </w:pPr>
            <w:r>
              <w:rPr>
                <w:rFonts w:hint="default" w:ascii="Times New Roman" w:hAnsi="Times New Roman" w:cs="Times New Roman"/>
                <w:color w:val="auto"/>
                <w:sz w:val="20"/>
                <w:szCs w:val="20"/>
              </w:rPr>
              <w:t>Axillary Temperature</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 xml:space="preserve"> 38</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232 (100.0)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429 (93.1)</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Running nose</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56 (24.1)</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99 (21.5)</w:t>
            </w:r>
          </w:p>
        </w:tc>
        <w:tc>
          <w:tcPr>
            <w:tcW w:w="122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0.427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Pharyngalgia</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56 (24.1)</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107 (23.2)</w:t>
            </w:r>
          </w:p>
        </w:tc>
        <w:tc>
          <w:tcPr>
            <w:tcW w:w="122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0.786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Cough</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232 (100.0)</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447 (97.0)</w:t>
            </w: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0.017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Chest pain</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32 (6.9)</w:t>
            </w: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lang w:val="en-US" w:eastAsia="zh-CN"/>
              </w:rPr>
              <w:t>Confusion</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32 (6.9)</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Respiratory rates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30</w:t>
            </w:r>
            <w:r>
              <w:rPr>
                <w:rFonts w:hint="default" w:ascii="Times New Roman" w:hAnsi="Times New Roman" w:cs="Times New Roman"/>
                <w:color w:val="auto"/>
                <w:sz w:val="20"/>
                <w:szCs w:val="20"/>
                <w:lang w:val="en-US" w:eastAsia="zh-CN"/>
              </w:rPr>
              <w:t xml:space="preserve"> times</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min</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33 (14.2)</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88 (19.1)</w:t>
            </w:r>
          </w:p>
        </w:tc>
        <w:tc>
          <w:tcPr>
            <w:tcW w:w="122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vertAlign w:val="baseline"/>
              </w:rPr>
            </w:pPr>
            <w:r>
              <w:rPr>
                <w:rFonts w:hint="default" w:ascii="Times New Roman" w:hAnsi="Times New Roman" w:cs="Times New Roman"/>
                <w:color w:val="auto"/>
                <w:sz w:val="20"/>
                <w:szCs w:val="20"/>
                <w:lang w:val="en-US" w:eastAsia="zh-CN"/>
              </w:rPr>
              <w:t xml:space="preserve">SBP </w:t>
            </w:r>
            <w:r>
              <w:rPr>
                <w:rFonts w:hint="default" w:ascii="Times New Roman" w:hAnsi="Times New Roman" w:cs="Times New Roman"/>
                <w:color w:val="auto"/>
                <w:sz w:val="20"/>
                <w:szCs w:val="20"/>
              </w:rPr>
              <w:t>&lt;</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90 mmHg</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8 (3.4)</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 (0.0)</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vertAlign w:val="baseline"/>
              </w:rPr>
            </w:pPr>
            <w:r>
              <w:rPr>
                <w:rFonts w:hint="default" w:ascii="Times New Roman" w:hAnsi="Times New Roman" w:cs="Times New Roman"/>
                <w:color w:val="auto"/>
                <w:sz w:val="20"/>
                <w:szCs w:val="20"/>
                <w:lang w:val="en-US" w:eastAsia="zh-CN"/>
              </w:rPr>
              <w:t xml:space="preserve">Leukocytes </w:t>
            </w:r>
            <w:r>
              <w:rPr>
                <w:rFonts w:hint="default" w:ascii="Times New Roman" w:hAnsi="Times New Roman" w:cs="Times New Roman"/>
                <w:color w:val="auto"/>
                <w:sz w:val="20"/>
                <w:szCs w:val="20"/>
              </w:rPr>
              <w:t>&gt;</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rPr>
              <w:t>10×10</w:t>
            </w:r>
            <w:r>
              <w:rPr>
                <w:rFonts w:hint="default" w:ascii="Times New Roman" w:hAnsi="Times New Roman" w:cs="Times New Roman"/>
                <w:color w:val="auto"/>
                <w:sz w:val="20"/>
                <w:szCs w:val="20"/>
                <w:vertAlign w:val="superscript"/>
              </w:rPr>
              <w:t>9</w:t>
            </w:r>
            <w:r>
              <w:rPr>
                <w:rFonts w:hint="default" w:ascii="Times New Roman" w:hAnsi="Times New Roman" w:cs="Times New Roman"/>
                <w:color w:val="auto"/>
                <w:sz w:val="20"/>
                <w:szCs w:val="20"/>
              </w:rPr>
              <w:t>/L</w:t>
            </w:r>
            <w:r>
              <w:rPr>
                <w:rFonts w:hint="default" w:ascii="Times New Roman" w:hAnsi="Times New Roman" w:cs="Times New Roman"/>
                <w:color w:val="auto"/>
                <w:sz w:val="20"/>
                <w:szCs w:val="20"/>
                <w:lang w:val="en-US" w:eastAsia="zh-CN"/>
              </w:rPr>
              <w:t xml:space="preserve"> </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16 (6.9)</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102 (22.1)</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rPr>
            </w:pPr>
            <w:r>
              <w:rPr>
                <w:rFonts w:hint="default" w:ascii="Times New Roman" w:hAnsi="Times New Roman" w:cs="Times New Roman"/>
                <w:color w:val="auto"/>
                <w:sz w:val="20"/>
                <w:szCs w:val="20"/>
                <w:lang w:val="en-US" w:eastAsia="zh-CN"/>
              </w:rPr>
              <w:t>Leukocytes &lt; 4.</w:t>
            </w:r>
            <w:r>
              <w:rPr>
                <w:rFonts w:hint="default" w:ascii="Times New Roman" w:hAnsi="Times New Roman" w:cs="Times New Roman"/>
                <w:color w:val="auto"/>
                <w:sz w:val="20"/>
                <w:szCs w:val="20"/>
              </w:rPr>
              <w:t>0×10</w:t>
            </w:r>
            <w:r>
              <w:rPr>
                <w:rFonts w:hint="default" w:ascii="Times New Roman" w:hAnsi="Times New Roman" w:cs="Times New Roman"/>
                <w:color w:val="auto"/>
                <w:sz w:val="20"/>
                <w:szCs w:val="20"/>
                <w:vertAlign w:val="superscript"/>
              </w:rPr>
              <w:t>9</w:t>
            </w:r>
            <w:r>
              <w:rPr>
                <w:rFonts w:hint="default" w:ascii="Times New Roman" w:hAnsi="Times New Roman" w:cs="Times New Roman"/>
                <w:color w:val="auto"/>
                <w:sz w:val="20"/>
                <w:szCs w:val="20"/>
              </w:rPr>
              <w:t>/L</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80 (34.5)</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64 (13.9)</w:t>
            </w: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Lymphocytes &lt; 0.8×10</w:t>
            </w:r>
            <w:r>
              <w:rPr>
                <w:rFonts w:hint="default" w:ascii="Times New Roman" w:hAnsi="Times New Roman" w:cs="Times New Roman"/>
                <w:color w:val="auto"/>
                <w:sz w:val="20"/>
                <w:szCs w:val="20"/>
                <w:vertAlign w:val="superscript"/>
                <w:lang w:val="en-US" w:eastAsia="zh-CN"/>
              </w:rPr>
              <w:t>9</w:t>
            </w:r>
            <w:r>
              <w:rPr>
                <w:rFonts w:hint="default" w:ascii="Times New Roman" w:hAnsi="Times New Roman" w:cs="Times New Roman"/>
                <w:color w:val="auto"/>
                <w:sz w:val="20"/>
                <w:szCs w:val="20"/>
                <w:lang w:val="en-US" w:eastAsia="zh-CN"/>
              </w:rPr>
              <w:t>/L</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143/232 (61.6)</w:t>
            </w:r>
          </w:p>
        </w:tc>
        <w:tc>
          <w:tcPr>
            <w:tcW w:w="1910" w:type="dxa"/>
            <w:tcBorders>
              <w:tl2br w:val="nil"/>
              <w:tr2bl w:val="nil"/>
            </w:tcBorders>
            <w:noWrap w:val="0"/>
            <w:vAlign w:val="top"/>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156/445 (35.1)</w:t>
            </w:r>
          </w:p>
        </w:tc>
        <w:tc>
          <w:tcPr>
            <w:tcW w:w="1226" w:type="dxa"/>
            <w:tcBorders>
              <w:tl2br w:val="nil"/>
              <w:tr2bl w:val="nil"/>
            </w:tcBorders>
            <w:noWrap w:val="0"/>
            <w:vAlign w:val="top"/>
          </w:tcPr>
          <w:p>
            <w:pPr>
              <w:jc w:val="center"/>
              <w:rPr>
                <w:rFonts w:hint="default" w:ascii="Times New Roman" w:hAnsi="Times New Roman"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cs="Times New Roman"/>
                <w:color w:val="auto"/>
                <w:sz w:val="20"/>
                <w:szCs w:val="20"/>
                <w:vertAlign w:val="baseline"/>
              </w:rPr>
            </w:pPr>
            <w:r>
              <w:rPr>
                <w:rFonts w:hint="default" w:ascii="Times New Roman" w:hAnsi="Times New Roman" w:cs="Times New Roman"/>
                <w:color w:val="auto"/>
                <w:sz w:val="20"/>
                <w:szCs w:val="20"/>
                <w:lang w:val="en-US" w:eastAsia="zh-CN"/>
              </w:rPr>
              <w:t>PO</w:t>
            </w:r>
            <w:r>
              <w:rPr>
                <w:rFonts w:hint="default" w:ascii="Times New Roman" w:hAnsi="Times New Roman" w:cs="Times New Roman"/>
                <w:color w:val="auto"/>
                <w:sz w:val="20"/>
                <w:szCs w:val="20"/>
                <w:vertAlign w:val="subscript"/>
                <w:lang w:val="en-US" w:eastAsia="zh-CN"/>
              </w:rPr>
              <w:t>2</w:t>
            </w:r>
            <w:r>
              <w:rPr>
                <w:rFonts w:hint="default" w:ascii="Times New Roman" w:hAnsi="Times New Roman" w:cs="Times New Roman"/>
                <w:color w:val="auto"/>
                <w:sz w:val="20"/>
                <w:szCs w:val="20"/>
                <w:lang w:val="en-US" w:eastAsia="zh-CN"/>
              </w:rPr>
              <w:t>/FiO</w:t>
            </w:r>
            <w:r>
              <w:rPr>
                <w:rFonts w:hint="default" w:ascii="Times New Roman" w:hAnsi="Times New Roman" w:cs="Times New Roman"/>
                <w:color w:val="auto"/>
                <w:sz w:val="20"/>
                <w:szCs w:val="20"/>
                <w:vertAlign w:val="subscript"/>
                <w:lang w:val="en-US" w:eastAsia="zh-CN"/>
              </w:rPr>
              <w:t>2</w:t>
            </w:r>
            <w:r>
              <w:rPr>
                <w:rFonts w:hint="default" w:ascii="Times New Roman" w:hAnsi="Times New Roman" w:cs="Times New Roman"/>
                <w:color w:val="auto"/>
                <w:sz w:val="20"/>
                <w:szCs w:val="20"/>
                <w:lang w:val="en-US" w:eastAsia="zh-CN"/>
              </w:rPr>
              <w:t xml:space="preserve"> &lt; 250</w:t>
            </w:r>
            <w:r>
              <w:rPr>
                <w:rFonts w:hint="default" w:ascii="Times New Roman" w:hAnsi="Times New Roman" w:cs="Times New Roman"/>
                <w:color w:val="auto"/>
                <w:sz w:val="20"/>
                <w:szCs w:val="20"/>
              </w:rPr>
              <w:t xml:space="preserve"> mmHg</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center"/>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40/216 (18.5)</w:t>
            </w:r>
          </w:p>
        </w:tc>
        <w:tc>
          <w:tcPr>
            <w:tcW w:w="1910" w:type="dxa"/>
            <w:tcBorders>
              <w:tl2br w:val="nil"/>
              <w:tr2bl w:val="nil"/>
            </w:tcBorders>
            <w:noWrap w:val="0"/>
            <w:vAlign w:val="center"/>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132/423 (31.2)</w:t>
            </w:r>
          </w:p>
        </w:tc>
        <w:tc>
          <w:tcPr>
            <w:tcW w:w="1226" w:type="dxa"/>
            <w:tcBorders>
              <w:tl2br w:val="nil"/>
              <w:tr2bl w:val="nil"/>
            </w:tcBorders>
            <w:noWrap w:val="0"/>
            <w:vAlign w:val="center"/>
          </w:tcPr>
          <w:p>
            <w:pPr>
              <w:jc w:val="center"/>
              <w:rPr>
                <w:rFonts w:hint="default" w:ascii="Times New Roman" w:hAnsi="Times New Roman" w:eastAsia="宋体" w:cs="Times New Roman"/>
                <w:b/>
                <w:bCs/>
                <w:color w:val="auto"/>
                <w:sz w:val="20"/>
                <w:szCs w:val="20"/>
                <w:vertAlign w:val="baseline"/>
                <w:lang w:val="en-US" w:eastAsia="zh-CN"/>
              </w:rPr>
            </w:pPr>
            <w:r>
              <w:rPr>
                <w:rFonts w:hint="default" w:ascii="Times New Roman" w:hAnsi="Times New Roman" w:cs="Times New Roman"/>
                <w:b/>
                <w:bCs/>
                <w:color w:val="auto"/>
                <w:sz w:val="20"/>
                <w:szCs w:val="20"/>
                <w:vertAlign w:val="baseline"/>
                <w:lang w:val="en-US" w:eastAsia="zh-CN"/>
              </w:rPr>
              <w: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Multilobar infiltrates</w:t>
            </w:r>
          </w:p>
        </w:tc>
        <w:tc>
          <w:tcPr>
            <w:tcW w:w="1906" w:type="dxa"/>
            <w:tcBorders>
              <w:tl2br w:val="nil"/>
              <w:tr2bl w:val="nil"/>
            </w:tcBorders>
            <w:noWrap w:val="0"/>
            <w:vAlign w:val="center"/>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176 (75.9)</w:t>
            </w:r>
          </w:p>
        </w:tc>
        <w:tc>
          <w:tcPr>
            <w:tcW w:w="1910" w:type="dxa"/>
            <w:tcBorders>
              <w:tl2br w:val="nil"/>
              <w:tr2bl w:val="nil"/>
            </w:tcBorders>
            <w:noWrap w:val="0"/>
            <w:vAlign w:val="center"/>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370 (80.3)</w:t>
            </w:r>
          </w:p>
        </w:tc>
        <w:tc>
          <w:tcPr>
            <w:tcW w:w="1226" w:type="dxa"/>
            <w:tcBorders>
              <w:tl2br w:val="nil"/>
              <w:tr2bl w:val="nil"/>
            </w:tcBorders>
            <w:noWrap w:val="0"/>
            <w:vAlign w:val="center"/>
          </w:tcPr>
          <w:p>
            <w:pPr>
              <w:jc w:val="center"/>
              <w:rPr>
                <w:rFonts w:hint="default" w:ascii="Times New Roman" w:hAnsi="Times New Roman"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0.181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ind w:left="105" w:leftChars="50"/>
              <w:jc w:val="left"/>
              <w:textAlignment w:val="auto"/>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lang w:val="en-US" w:eastAsia="zh-CN"/>
              </w:rPr>
              <w:t>Pleural effusion</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72 (31.0)</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43 (9.3)</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shd w:val="clear" w:color="auto" w:fill="auto"/>
                <w:vertAlign w:val="baseline"/>
                <w:lang w:val="en-US" w:eastAsia="zh-CN"/>
              </w:rPr>
            </w:pPr>
            <w:r>
              <w:rPr>
                <w:rFonts w:hint="default" w:ascii="Times New Roman" w:hAnsi="Times New Roman" w:cs="Times New Roman"/>
                <w:b/>
                <w:bCs/>
                <w:color w:val="auto"/>
                <w:sz w:val="20"/>
                <w:szCs w:val="20"/>
                <w:shd w:val="clear" w:color="auto" w:fill="auto"/>
                <w:vertAlign w:val="baseline"/>
                <w:lang w:val="en-US" w:eastAsia="zh-CN"/>
              </w:rPr>
              <w:t>&lt;0.001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34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 xml:space="preserve">Positve for RIDTs </w:t>
            </w:r>
            <w:r>
              <w:rPr>
                <w:rFonts w:hint="default" w:ascii="Times New Roman" w:hAnsi="Times New Roman" w:cs="Times New Roman"/>
                <w:color w:val="auto"/>
                <w:sz w:val="20"/>
                <w:szCs w:val="20"/>
                <w:vertAlign w:val="baseline"/>
                <w:lang w:val="en-US" w:eastAsia="zh-CN"/>
              </w:rPr>
              <w:t>(</w:t>
            </w:r>
            <w:r>
              <w:rPr>
                <w:rFonts w:hint="default" w:ascii="Times New Roman" w:hAnsi="Times New Roman" w:cs="Times New Roman"/>
                <w:color w:val="auto"/>
                <w:sz w:val="20"/>
                <w:szCs w:val="20"/>
                <w:lang w:val="en-US" w:eastAsia="zh-CN"/>
              </w:rPr>
              <w:t xml:space="preserve">n, </w:t>
            </w:r>
            <w:r>
              <w:rPr>
                <w:rFonts w:hint="default" w:ascii="Times New Roman" w:hAnsi="Times New Roman" w:cs="Times New Roman"/>
                <w:color w:val="auto"/>
                <w:sz w:val="20"/>
                <w:szCs w:val="20"/>
              </w:rPr>
              <w:t>%</w:t>
            </w:r>
            <w:r>
              <w:rPr>
                <w:rFonts w:hint="default" w:ascii="Times New Roman" w:hAnsi="Times New Roman" w:cs="Times New Roman"/>
                <w:color w:val="auto"/>
                <w:sz w:val="20"/>
                <w:szCs w:val="20"/>
                <w:lang w:val="en-US" w:eastAsia="zh-CN"/>
              </w:rPr>
              <w:t>)</w:t>
            </w:r>
            <w:r>
              <w:rPr>
                <w:rFonts w:hint="default" w:ascii="Times New Roman" w:hAnsi="Times New Roman" w:cs="Times New Roman"/>
                <w:color w:val="auto"/>
                <w:sz w:val="20"/>
                <w:szCs w:val="20"/>
                <w:highlight w:val="none"/>
                <w:vertAlign w:val="superscript"/>
                <w:lang w:val="en-US" w:eastAsia="zh-CN"/>
              </w:rPr>
              <w:t>#</w:t>
            </w:r>
          </w:p>
        </w:tc>
        <w:tc>
          <w:tcPr>
            <w:tcW w:w="1906"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136 (58.6)</w:t>
            </w:r>
          </w:p>
        </w:tc>
        <w:tc>
          <w:tcPr>
            <w:tcW w:w="1910" w:type="dxa"/>
            <w:tcBorders>
              <w:tl2br w:val="nil"/>
              <w:tr2bl w:val="nil"/>
            </w:tcBorders>
            <w:noWrap w:val="0"/>
            <w:vAlign w:val="top"/>
          </w:tcPr>
          <w:p>
            <w:pPr>
              <w:jc w:val="center"/>
              <w:rPr>
                <w:rFonts w:hint="default" w:ascii="Times New Roman" w:hAnsi="Times New Roman" w:eastAsia="宋体" w:cs="Times New Roman"/>
                <w:color w:val="auto"/>
                <w:sz w:val="20"/>
                <w:szCs w:val="20"/>
                <w:vertAlign w:val="baseline"/>
                <w:lang w:val="en-US" w:eastAsia="zh-CN"/>
              </w:rPr>
            </w:pPr>
            <w:r>
              <w:rPr>
                <w:rFonts w:hint="default" w:ascii="Times New Roman" w:hAnsi="Times New Roman" w:cs="Times New Roman"/>
                <w:color w:val="auto"/>
                <w:sz w:val="20"/>
                <w:szCs w:val="20"/>
                <w:vertAlign w:val="baseline"/>
                <w:lang w:val="en-US" w:eastAsia="zh-CN"/>
              </w:rPr>
              <w:t>100 (21.7)</w:t>
            </w:r>
          </w:p>
        </w:tc>
        <w:tc>
          <w:tcPr>
            <w:tcW w:w="1226" w:type="dxa"/>
            <w:tcBorders>
              <w:tl2br w:val="nil"/>
              <w:tr2bl w:val="nil"/>
            </w:tcBorders>
            <w:noWrap w:val="0"/>
            <w:vAlign w:val="top"/>
          </w:tcPr>
          <w:p>
            <w:pPr>
              <w:jc w:val="center"/>
              <w:rPr>
                <w:rFonts w:hint="default" w:ascii="Times New Roman" w:hAnsi="Times New Roman" w:eastAsia="宋体" w:cs="Times New Roman"/>
                <w:b/>
                <w:bCs/>
                <w:color w:val="auto"/>
                <w:sz w:val="20"/>
                <w:szCs w:val="20"/>
                <w:shd w:val="clear" w:color="auto" w:fill="auto"/>
                <w:vertAlign w:val="baseline"/>
                <w:lang w:val="en-US" w:eastAsia="zh-CN"/>
              </w:rPr>
            </w:pPr>
            <w:r>
              <w:rPr>
                <w:rFonts w:hint="default" w:ascii="Times New Roman" w:hAnsi="Times New Roman" w:cs="Times New Roman"/>
                <w:b/>
                <w:bCs/>
                <w:color w:val="auto"/>
                <w:sz w:val="20"/>
                <w:szCs w:val="20"/>
                <w:shd w:val="clear" w:color="auto" w:fill="auto"/>
                <w:vertAlign w:val="baseline"/>
                <w:lang w:val="en-US" w:eastAsia="zh-CN"/>
              </w:rPr>
              <w:t>&lt;0.001</w:t>
            </w:r>
          </w:p>
        </w:tc>
      </w:tr>
    </w:tbl>
    <w:p>
      <w:pP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#Variables cited in the table above were the candidates which were entered into the multivariate logistic regression model. The bolded values are p-values &lt; 0.05, which represent significant differences between early NAIs use group and control group. BMI: body mass index; COPD: chronic obstructive pulmonary disease; SBP: systolic blood pressure; </w:t>
      </w:r>
      <w:r>
        <w:rPr>
          <w:rFonts w:hint="default" w:ascii="Times New Roman" w:hAnsi="Times New Roman" w:cs="Times New Roman"/>
          <w:color w:val="000000"/>
          <w:sz w:val="20"/>
          <w:szCs w:val="20"/>
          <w:lang w:val="en-US" w:eastAsia="zh-CN"/>
        </w:rPr>
        <w:t>PO</w:t>
      </w:r>
      <w:r>
        <w:rPr>
          <w:rFonts w:hint="default" w:ascii="Times New Roman" w:hAnsi="Times New Roman" w:cs="Times New Roman"/>
          <w:color w:val="000000"/>
          <w:sz w:val="20"/>
          <w:szCs w:val="20"/>
          <w:vertAlign w:val="subscript"/>
          <w:lang w:val="en-US" w:eastAsia="zh-CN"/>
        </w:rPr>
        <w:t>2</w:t>
      </w:r>
      <w:r>
        <w:rPr>
          <w:rFonts w:hint="default" w:ascii="Times New Roman" w:hAnsi="Times New Roman" w:cs="Times New Roman"/>
          <w:color w:val="000000"/>
          <w:sz w:val="20"/>
          <w:szCs w:val="20"/>
          <w:lang w:val="en-US" w:eastAsia="zh-CN"/>
        </w:rPr>
        <w:t>/FiO</w:t>
      </w:r>
      <w:r>
        <w:rPr>
          <w:rFonts w:hint="default" w:ascii="Times New Roman" w:hAnsi="Times New Roman" w:cs="Times New Roman"/>
          <w:color w:val="000000"/>
          <w:sz w:val="20"/>
          <w:szCs w:val="20"/>
          <w:vertAlign w:val="subscript"/>
          <w:lang w:val="en-US" w:eastAsia="zh-CN"/>
        </w:rPr>
        <w:t xml:space="preserve">2: </w:t>
      </w:r>
      <w:r>
        <w:rPr>
          <w:rFonts w:hint="default" w:ascii="Times New Roman" w:hAnsi="Times New Roman" w:cs="Times New Roman"/>
          <w:color w:val="000000"/>
          <w:sz w:val="20"/>
          <w:szCs w:val="20"/>
          <w:vertAlign w:val="baseline"/>
          <w:lang w:val="en-US" w:eastAsia="zh-CN"/>
        </w:rPr>
        <w:t>arterial pressure of oxygen / fraction of inspiration oxygen</w:t>
      </w:r>
      <w:r>
        <w:rPr>
          <w:rFonts w:hint="default" w:ascii="Times New Roman" w:hAnsi="Times New Roman" w:cs="Times New Roman"/>
          <w:color w:val="000000"/>
          <w:sz w:val="20"/>
          <w:szCs w:val="20"/>
          <w:vertAlign w:val="subscript"/>
          <w:lang w:val="en-US" w:eastAsia="zh-CN"/>
        </w:rPr>
        <w:t xml:space="preserve">; </w:t>
      </w:r>
      <w:r>
        <w:rPr>
          <w:rFonts w:hint="default" w:ascii="Times New Roman" w:hAnsi="Times New Roman" w:cs="Times New Roman"/>
          <w:color w:val="000000"/>
          <w:sz w:val="20"/>
          <w:szCs w:val="20"/>
          <w:lang w:val="en-US" w:eastAsia="zh-CN"/>
        </w:rPr>
        <w:t>RIDTs: rapid influenza diagnostic tests</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PSMT">
    <w:altName w:val="Times New Roman"/>
    <w:panose1 w:val="00000000000000000000"/>
    <w:charset w:val="00"/>
    <w:family w:val="auto"/>
    <w:pitch w:val="default"/>
    <w:sig w:usb0="00000000" w:usb1="00000000" w:usb2="00000000" w:usb3="00000000" w:csb0="00000000" w:csb1="00000000"/>
  </w:font>
  <w:font w:name="华文琥珀">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9B142C"/>
    <w:multiLevelType w:val="singleLevel"/>
    <w:tmpl w:val="959B142C"/>
    <w:lvl w:ilvl="0" w:tentative="0">
      <w:start w:val="1"/>
      <w:numFmt w:val="decimal"/>
      <w:lvlText w:val="(%1)"/>
      <w:lvlJc w:val="left"/>
      <w:pPr>
        <w:ind w:left="425" w:hanging="425"/>
      </w:pPr>
      <w:rPr>
        <w:rFonts w:hint="default"/>
      </w:rPr>
    </w:lvl>
  </w:abstractNum>
  <w:abstractNum w:abstractNumId="1">
    <w:nsid w:val="53A216BD"/>
    <w:multiLevelType w:val="singleLevel"/>
    <w:tmpl w:val="53A216BD"/>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7F0E86"/>
    <w:rsid w:val="00344D55"/>
    <w:rsid w:val="0226682A"/>
    <w:rsid w:val="02C84075"/>
    <w:rsid w:val="033F66E2"/>
    <w:rsid w:val="04220DFA"/>
    <w:rsid w:val="05577D7C"/>
    <w:rsid w:val="07F6395C"/>
    <w:rsid w:val="0A540740"/>
    <w:rsid w:val="0AA475FA"/>
    <w:rsid w:val="0E1639F6"/>
    <w:rsid w:val="0EA40479"/>
    <w:rsid w:val="0EC96CB3"/>
    <w:rsid w:val="0FC12990"/>
    <w:rsid w:val="10235EEF"/>
    <w:rsid w:val="113B12CE"/>
    <w:rsid w:val="1338158D"/>
    <w:rsid w:val="13883388"/>
    <w:rsid w:val="18392B75"/>
    <w:rsid w:val="1B1A5E43"/>
    <w:rsid w:val="202C2713"/>
    <w:rsid w:val="220B4936"/>
    <w:rsid w:val="234C08B7"/>
    <w:rsid w:val="250C5789"/>
    <w:rsid w:val="25E77B88"/>
    <w:rsid w:val="26A01DBC"/>
    <w:rsid w:val="275B77A5"/>
    <w:rsid w:val="29223B48"/>
    <w:rsid w:val="2A593C48"/>
    <w:rsid w:val="2AF53656"/>
    <w:rsid w:val="2CD45A9B"/>
    <w:rsid w:val="2CE9543F"/>
    <w:rsid w:val="2D9532EE"/>
    <w:rsid w:val="2E880CDF"/>
    <w:rsid w:val="33574C0E"/>
    <w:rsid w:val="33E97AF5"/>
    <w:rsid w:val="377E7585"/>
    <w:rsid w:val="38AC311B"/>
    <w:rsid w:val="38B505F1"/>
    <w:rsid w:val="392271B4"/>
    <w:rsid w:val="3A7A3368"/>
    <w:rsid w:val="40BC631B"/>
    <w:rsid w:val="40CB177B"/>
    <w:rsid w:val="438D6A79"/>
    <w:rsid w:val="445B462F"/>
    <w:rsid w:val="481067B8"/>
    <w:rsid w:val="48425955"/>
    <w:rsid w:val="48BE3853"/>
    <w:rsid w:val="4A0C637C"/>
    <w:rsid w:val="4CF63A03"/>
    <w:rsid w:val="4E16041D"/>
    <w:rsid w:val="4F853217"/>
    <w:rsid w:val="4FB57169"/>
    <w:rsid w:val="4FE63016"/>
    <w:rsid w:val="51510745"/>
    <w:rsid w:val="5168464C"/>
    <w:rsid w:val="52353D5D"/>
    <w:rsid w:val="58254B83"/>
    <w:rsid w:val="5B2F70DD"/>
    <w:rsid w:val="5B371E77"/>
    <w:rsid w:val="5B7F0E86"/>
    <w:rsid w:val="5C006BED"/>
    <w:rsid w:val="5C12719B"/>
    <w:rsid w:val="5C707547"/>
    <w:rsid w:val="5D283D9F"/>
    <w:rsid w:val="61D52E23"/>
    <w:rsid w:val="6453055E"/>
    <w:rsid w:val="646F62F2"/>
    <w:rsid w:val="65E71661"/>
    <w:rsid w:val="6ECA23BB"/>
    <w:rsid w:val="6F1B0E0F"/>
    <w:rsid w:val="765C5B18"/>
    <w:rsid w:val="788B597A"/>
    <w:rsid w:val="7D1F0402"/>
    <w:rsid w:val="7E506851"/>
    <w:rsid w:val="7ED87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qFormat/>
    <w:uiPriority w:val="0"/>
    <w:rPr>
      <w:rFonts w:cs="Times New Roman"/>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2019-10-27T12:21:00Z</dcterms:created>
  <dc:creator>安</dc:creator>
  <cp:lastModifiedBy>安</cp:lastModifiedBy>
  <dcterms:modified xsi:type="dcterms:W3CDTF">2020-01-05T02:45:37Z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